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C991" w14:textId="6F58C1B8" w:rsidR="0068707D" w:rsidRPr="004952AA" w:rsidRDefault="000155BB">
      <w:pPr>
        <w:rPr>
          <w:sz w:val="28"/>
        </w:rPr>
      </w:pPr>
      <w:r>
        <w:rPr>
          <w:sz w:val="28"/>
        </w:rPr>
        <w:t xml:space="preserve"> </w:t>
      </w:r>
      <w:proofErr w:type="spellStart"/>
      <w:r>
        <w:rPr>
          <w:sz w:val="28"/>
        </w:rPr>
        <w:t>Petersgate</w:t>
      </w:r>
      <w:proofErr w:type="spellEnd"/>
      <w:r>
        <w:rPr>
          <w:sz w:val="28"/>
        </w:rPr>
        <w:t xml:space="preserve"> Medical Centre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14:paraId="6E4D0CAA" w14:textId="77777777" w:rsidTr="008C2AD3">
        <w:trPr>
          <w:trHeight w:val="300"/>
        </w:trPr>
        <w:tc>
          <w:tcPr>
            <w:tcW w:w="10598" w:type="dxa"/>
            <w:gridSpan w:val="2"/>
            <w:noWrap/>
          </w:tcPr>
          <w:p w14:paraId="38DB6836" w14:textId="77777777" w:rsidR="008B3F9E" w:rsidRPr="00A75CE2" w:rsidRDefault="008B3F9E" w:rsidP="00255F4D">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p>
          <w:p w14:paraId="5439C3B8" w14:textId="77777777" w:rsidR="008B3F9E" w:rsidRPr="00A75CE2" w:rsidRDefault="008B3F9E" w:rsidP="00255F4D">
            <w:pPr>
              <w:spacing w:after="0" w:line="240" w:lineRule="auto"/>
              <w:rPr>
                <w:rFonts w:ascii="Times New Roman" w:hAnsi="Times New Roman"/>
                <w:color w:val="000000"/>
                <w:sz w:val="28"/>
                <w:szCs w:val="28"/>
                <w:lang w:eastAsia="en-GB"/>
              </w:rPr>
            </w:pPr>
          </w:p>
          <w:p w14:paraId="47165D75" w14:textId="77777777" w:rsidR="005F558D" w:rsidRDefault="005F558D" w:rsidP="00255F4D">
            <w:pPr>
              <w:spacing w:after="0" w:line="240" w:lineRule="auto"/>
              <w:rPr>
                <w:sz w:val="24"/>
                <w:szCs w:val="24"/>
              </w:rPr>
            </w:pPr>
            <w:r w:rsidRPr="005F558D">
              <w:rPr>
                <w:sz w:val="24"/>
                <w:szCs w:val="24"/>
              </w:rPr>
              <w:t xml:space="preserve">The surgery has the ability to record telephone calls to protect patients and staff and other health workers. Patients are protected by our having a record of our conversations with you, staff and other health workers are protected from potential abuse. </w:t>
            </w:r>
            <w:r>
              <w:rPr>
                <w:sz w:val="24"/>
                <w:szCs w:val="24"/>
              </w:rPr>
              <w:t xml:space="preserve">All calls into and out of the surgery are recorded. </w:t>
            </w:r>
          </w:p>
          <w:p w14:paraId="400C35C2" w14:textId="77777777" w:rsidR="005F558D" w:rsidRDefault="005F558D" w:rsidP="00255F4D">
            <w:pPr>
              <w:spacing w:after="0" w:line="240" w:lineRule="auto"/>
              <w:rPr>
                <w:sz w:val="24"/>
                <w:szCs w:val="24"/>
              </w:rPr>
            </w:pPr>
          </w:p>
          <w:p w14:paraId="2F772EAA" w14:textId="77777777" w:rsidR="00B76C95" w:rsidRPr="005F558D" w:rsidRDefault="005F558D" w:rsidP="00255F4D">
            <w:pPr>
              <w:spacing w:after="0" w:line="240" w:lineRule="auto"/>
              <w:rPr>
                <w:sz w:val="24"/>
                <w:szCs w:val="24"/>
              </w:rPr>
            </w:pPr>
            <w:r>
              <w:rPr>
                <w:sz w:val="24"/>
                <w:szCs w:val="24"/>
              </w:rPr>
              <w:t xml:space="preserve">Call recordings may </w:t>
            </w:r>
            <w:r w:rsidRPr="005F558D">
              <w:rPr>
                <w:sz w:val="24"/>
                <w:szCs w:val="24"/>
              </w:rPr>
              <w:t xml:space="preserve">also </w:t>
            </w:r>
            <w:r>
              <w:rPr>
                <w:sz w:val="24"/>
                <w:szCs w:val="24"/>
              </w:rPr>
              <w:t xml:space="preserve"> be used for </w:t>
            </w:r>
            <w:r w:rsidRPr="005F558D">
              <w:rPr>
                <w:sz w:val="24"/>
                <w:szCs w:val="24"/>
              </w:rPr>
              <w:t>staff training and quality control</w:t>
            </w:r>
            <w:r>
              <w:rPr>
                <w:sz w:val="24"/>
                <w:szCs w:val="24"/>
              </w:rPr>
              <w:t xml:space="preserve"> and dispute resolution. </w:t>
            </w:r>
          </w:p>
          <w:p w14:paraId="0A460BC6" w14:textId="77777777" w:rsidR="005F558D" w:rsidRDefault="005F558D" w:rsidP="00255F4D">
            <w:pPr>
              <w:spacing w:after="0" w:line="240" w:lineRule="auto"/>
              <w:rPr>
                <w:sz w:val="24"/>
                <w:szCs w:val="24"/>
              </w:rPr>
            </w:pPr>
          </w:p>
          <w:p w14:paraId="3C3E6081" w14:textId="77777777" w:rsidR="005F558D" w:rsidRDefault="005F558D" w:rsidP="00255F4D">
            <w:pPr>
              <w:spacing w:after="0" w:line="240" w:lineRule="auto"/>
              <w:rPr>
                <w:sz w:val="24"/>
                <w:szCs w:val="24"/>
              </w:rPr>
            </w:pPr>
            <w:r w:rsidRPr="005F558D">
              <w:rPr>
                <w:sz w:val="24"/>
                <w:szCs w:val="24"/>
              </w:rPr>
              <w:t xml:space="preserve">The recordings are stored on the surgery telephone system, provided by </w:t>
            </w:r>
            <w:r>
              <w:rPr>
                <w:sz w:val="24"/>
                <w:szCs w:val="24"/>
              </w:rPr>
              <w:t>ETS</w:t>
            </w:r>
            <w:r w:rsidRPr="005F558D">
              <w:rPr>
                <w:sz w:val="24"/>
                <w:szCs w:val="24"/>
              </w:rPr>
              <w:t xml:space="preserve">, and are protected through the companies GDPR Policy. These recordings will not usually be shared outside the practice. If we hold recordings that have not been deleted you can ask for copies by putting a request to the Practice Manager. </w:t>
            </w:r>
          </w:p>
          <w:p w14:paraId="400909D5" w14:textId="77777777" w:rsidR="005F558D" w:rsidRDefault="005F558D" w:rsidP="00255F4D">
            <w:pPr>
              <w:spacing w:after="0" w:line="240" w:lineRule="auto"/>
              <w:rPr>
                <w:sz w:val="24"/>
                <w:szCs w:val="24"/>
              </w:rPr>
            </w:pPr>
          </w:p>
          <w:p w14:paraId="35CB0978" w14:textId="77777777" w:rsidR="005F558D" w:rsidRPr="005F558D" w:rsidRDefault="005F558D" w:rsidP="00255F4D">
            <w:pPr>
              <w:spacing w:after="0" w:line="240" w:lineRule="auto"/>
              <w:rPr>
                <w:rFonts w:ascii="Times New Roman" w:hAnsi="Times New Roman"/>
                <w:color w:val="000000"/>
                <w:sz w:val="24"/>
                <w:szCs w:val="24"/>
                <w:lang w:eastAsia="en-GB"/>
              </w:rPr>
            </w:pPr>
            <w:r w:rsidRPr="005F558D">
              <w:rPr>
                <w:sz w:val="24"/>
                <w:szCs w:val="24"/>
              </w:rPr>
              <w:t>We are required by Articles in the General Data Protection Regulations to provide you with the information in the following 9 subsections</w:t>
            </w:r>
          </w:p>
          <w:p w14:paraId="4937194F" w14:textId="77777777" w:rsidR="00573B1F" w:rsidRDefault="00573B1F" w:rsidP="00255F4D">
            <w:pPr>
              <w:spacing w:after="0" w:line="240" w:lineRule="auto"/>
              <w:rPr>
                <w:rFonts w:ascii="Times New Roman" w:hAnsi="Times New Roman"/>
                <w:color w:val="000000"/>
                <w:sz w:val="24"/>
                <w:szCs w:val="24"/>
                <w:lang w:eastAsia="en-GB"/>
              </w:rPr>
            </w:pPr>
          </w:p>
          <w:p w14:paraId="61D2C7EF" w14:textId="77777777" w:rsidR="00CC4722" w:rsidRPr="008B3F9E" w:rsidRDefault="00CC4722" w:rsidP="00255F4D">
            <w:pPr>
              <w:spacing w:after="0" w:line="240" w:lineRule="auto"/>
              <w:rPr>
                <w:rFonts w:ascii="Times New Roman" w:hAnsi="Times New Roman"/>
                <w:color w:val="000000"/>
                <w:sz w:val="24"/>
                <w:szCs w:val="24"/>
                <w:lang w:eastAsia="en-GB"/>
              </w:rPr>
            </w:pPr>
          </w:p>
        </w:tc>
      </w:tr>
      <w:tr w:rsidR="002F59D9" w:rsidRPr="000155BB" w14:paraId="01482C79" w14:textId="77777777" w:rsidTr="00971718">
        <w:trPr>
          <w:trHeight w:val="300"/>
        </w:trPr>
        <w:tc>
          <w:tcPr>
            <w:tcW w:w="3227" w:type="dxa"/>
            <w:noWrap/>
          </w:tcPr>
          <w:p w14:paraId="1CEBC4BB" w14:textId="77777777" w:rsidR="002F59D9" w:rsidRPr="000155BB" w:rsidRDefault="002F59D9" w:rsidP="00255F4D">
            <w:pPr>
              <w:spacing w:after="0" w:line="240" w:lineRule="auto"/>
              <w:rPr>
                <w:rFonts w:cs="Calibri"/>
                <w:b/>
                <w:color w:val="000000"/>
                <w:sz w:val="24"/>
                <w:szCs w:val="24"/>
                <w:lang w:eastAsia="en-GB"/>
              </w:rPr>
            </w:pPr>
            <w:r w:rsidRPr="000155BB">
              <w:rPr>
                <w:rFonts w:cs="Calibri"/>
                <w:color w:val="000000"/>
                <w:sz w:val="24"/>
                <w:szCs w:val="24"/>
                <w:lang w:eastAsia="en-GB"/>
              </w:rPr>
              <w:t>1</w:t>
            </w:r>
            <w:r w:rsidRPr="000155BB">
              <w:rPr>
                <w:rFonts w:cs="Calibri"/>
                <w:b/>
                <w:color w:val="000000"/>
                <w:sz w:val="24"/>
                <w:szCs w:val="24"/>
                <w:lang w:eastAsia="en-GB"/>
              </w:rPr>
              <w:t xml:space="preserve">) Data Controller </w:t>
            </w:r>
            <w:r w:rsidRPr="000155BB">
              <w:rPr>
                <w:rFonts w:cs="Calibri"/>
                <w:color w:val="000000"/>
                <w:sz w:val="24"/>
                <w:szCs w:val="24"/>
                <w:lang w:eastAsia="en-GB"/>
              </w:rPr>
              <w:t>contact details</w:t>
            </w:r>
          </w:p>
          <w:p w14:paraId="1BE6EDDD" w14:textId="77777777" w:rsidR="002F59D9" w:rsidRPr="000155BB" w:rsidRDefault="002F59D9" w:rsidP="00255F4D">
            <w:pPr>
              <w:spacing w:after="0" w:line="240" w:lineRule="auto"/>
              <w:rPr>
                <w:rFonts w:cs="Calibri"/>
                <w:color w:val="000000"/>
                <w:sz w:val="24"/>
                <w:szCs w:val="24"/>
                <w:lang w:eastAsia="en-GB"/>
              </w:rPr>
            </w:pPr>
          </w:p>
          <w:p w14:paraId="053FE60B" w14:textId="77777777" w:rsidR="002F59D9" w:rsidRPr="000155BB" w:rsidRDefault="002F59D9" w:rsidP="003902E4">
            <w:pPr>
              <w:spacing w:after="0" w:line="240" w:lineRule="auto"/>
              <w:rPr>
                <w:rFonts w:cs="Calibri"/>
                <w:color w:val="000000"/>
                <w:sz w:val="24"/>
                <w:szCs w:val="24"/>
                <w:lang w:eastAsia="en-GB"/>
              </w:rPr>
            </w:pPr>
          </w:p>
        </w:tc>
        <w:tc>
          <w:tcPr>
            <w:tcW w:w="7371" w:type="dxa"/>
            <w:noWrap/>
          </w:tcPr>
          <w:p w14:paraId="7F68F4A8" w14:textId="0D140AEB" w:rsidR="002F59D9" w:rsidRPr="000155BB" w:rsidRDefault="000155BB" w:rsidP="00F1252D">
            <w:pPr>
              <w:spacing w:after="0" w:line="240" w:lineRule="auto"/>
              <w:rPr>
                <w:rFonts w:cs="Calibri"/>
                <w:color w:val="000000"/>
                <w:sz w:val="24"/>
                <w:szCs w:val="24"/>
                <w:lang w:eastAsia="en-GB"/>
              </w:rPr>
            </w:pPr>
            <w:proofErr w:type="spellStart"/>
            <w:r w:rsidRPr="000155BB">
              <w:rPr>
                <w:rFonts w:cs="Calibri"/>
                <w:color w:val="000000"/>
                <w:sz w:val="24"/>
                <w:szCs w:val="24"/>
                <w:lang w:eastAsia="en-GB"/>
              </w:rPr>
              <w:t>Petersgate</w:t>
            </w:r>
            <w:proofErr w:type="spellEnd"/>
            <w:r w:rsidRPr="000155BB">
              <w:rPr>
                <w:rFonts w:cs="Calibri"/>
                <w:color w:val="000000"/>
                <w:sz w:val="24"/>
                <w:szCs w:val="24"/>
                <w:lang w:eastAsia="en-GB"/>
              </w:rPr>
              <w:t xml:space="preserve"> Medical Centre, 99 Amersall Road, </w:t>
            </w:r>
            <w:proofErr w:type="spellStart"/>
            <w:r w:rsidRPr="000155BB">
              <w:rPr>
                <w:rFonts w:cs="Calibri"/>
                <w:color w:val="000000"/>
                <w:sz w:val="24"/>
                <w:szCs w:val="24"/>
                <w:lang w:eastAsia="en-GB"/>
              </w:rPr>
              <w:t>Scawthorpe</w:t>
            </w:r>
            <w:proofErr w:type="spellEnd"/>
            <w:r w:rsidRPr="000155BB">
              <w:rPr>
                <w:rFonts w:cs="Calibri"/>
                <w:color w:val="000000"/>
                <w:sz w:val="24"/>
                <w:szCs w:val="24"/>
                <w:lang w:eastAsia="en-GB"/>
              </w:rPr>
              <w:t>, Doncaster, DN5 9PQ</w:t>
            </w:r>
          </w:p>
          <w:p w14:paraId="787EC7DD" w14:textId="77777777" w:rsidR="002F59D9" w:rsidRPr="000155BB" w:rsidRDefault="002F59D9" w:rsidP="00F1252D">
            <w:pPr>
              <w:spacing w:after="0" w:line="240" w:lineRule="auto"/>
              <w:rPr>
                <w:rFonts w:cs="Calibri"/>
                <w:color w:val="000000"/>
                <w:sz w:val="24"/>
                <w:szCs w:val="24"/>
                <w:lang w:eastAsia="en-GB"/>
              </w:rPr>
            </w:pPr>
          </w:p>
          <w:p w14:paraId="32C66CC9" w14:textId="77777777" w:rsidR="002F59D9" w:rsidRPr="000155BB" w:rsidRDefault="002F59D9" w:rsidP="00255F4D">
            <w:pPr>
              <w:spacing w:after="0" w:line="240" w:lineRule="auto"/>
              <w:rPr>
                <w:rFonts w:cs="Calibri"/>
                <w:color w:val="000000"/>
                <w:sz w:val="24"/>
                <w:szCs w:val="24"/>
                <w:lang w:eastAsia="en-GB"/>
              </w:rPr>
            </w:pPr>
          </w:p>
        </w:tc>
      </w:tr>
      <w:tr w:rsidR="002F59D9" w:rsidRPr="000155BB" w14:paraId="50960CFC" w14:textId="77777777" w:rsidTr="00971718">
        <w:trPr>
          <w:trHeight w:val="300"/>
        </w:trPr>
        <w:tc>
          <w:tcPr>
            <w:tcW w:w="3227" w:type="dxa"/>
            <w:noWrap/>
          </w:tcPr>
          <w:p w14:paraId="48DEBC14" w14:textId="77777777" w:rsidR="002F59D9" w:rsidRPr="000155BB" w:rsidRDefault="002F59D9" w:rsidP="00255F4D">
            <w:pPr>
              <w:spacing w:after="0" w:line="240" w:lineRule="auto"/>
              <w:rPr>
                <w:rFonts w:cs="Calibri"/>
                <w:color w:val="000000"/>
                <w:sz w:val="24"/>
                <w:szCs w:val="24"/>
                <w:lang w:eastAsia="en-GB"/>
              </w:rPr>
            </w:pPr>
            <w:r w:rsidRPr="000155BB">
              <w:rPr>
                <w:rFonts w:cs="Calibri"/>
                <w:b/>
                <w:color w:val="000000"/>
                <w:sz w:val="24"/>
                <w:szCs w:val="24"/>
                <w:lang w:eastAsia="en-GB"/>
              </w:rPr>
              <w:t xml:space="preserve">2) Data Protection Officer </w:t>
            </w:r>
            <w:r w:rsidRPr="000155BB">
              <w:rPr>
                <w:rFonts w:cs="Calibri"/>
                <w:color w:val="000000"/>
                <w:sz w:val="24"/>
                <w:szCs w:val="24"/>
                <w:lang w:eastAsia="en-GB"/>
              </w:rPr>
              <w:t>contact details</w:t>
            </w:r>
          </w:p>
          <w:p w14:paraId="23E225DB" w14:textId="77777777" w:rsidR="002F59D9" w:rsidRPr="000155BB" w:rsidRDefault="002F59D9" w:rsidP="00CB1B71">
            <w:pPr>
              <w:spacing w:after="0" w:line="240" w:lineRule="auto"/>
              <w:rPr>
                <w:rFonts w:cs="Calibri"/>
                <w:color w:val="000000"/>
                <w:sz w:val="24"/>
                <w:szCs w:val="24"/>
                <w:lang w:eastAsia="en-GB"/>
              </w:rPr>
            </w:pPr>
          </w:p>
          <w:p w14:paraId="35D318A7" w14:textId="77777777" w:rsidR="002F59D9" w:rsidRPr="000155BB" w:rsidRDefault="002F59D9" w:rsidP="003902E4">
            <w:pPr>
              <w:spacing w:after="0" w:line="240" w:lineRule="auto"/>
              <w:rPr>
                <w:rFonts w:cs="Calibri"/>
                <w:color w:val="000000"/>
                <w:sz w:val="24"/>
                <w:szCs w:val="24"/>
                <w:lang w:eastAsia="en-GB"/>
              </w:rPr>
            </w:pPr>
          </w:p>
        </w:tc>
        <w:tc>
          <w:tcPr>
            <w:tcW w:w="7371" w:type="dxa"/>
            <w:noWrap/>
          </w:tcPr>
          <w:p w14:paraId="5CA6CF87" w14:textId="2BF628FA" w:rsidR="00AE0D78" w:rsidRPr="000155BB" w:rsidRDefault="00AE0D78" w:rsidP="00AE0D78">
            <w:pPr>
              <w:autoSpaceDE w:val="0"/>
              <w:autoSpaceDN w:val="0"/>
              <w:adjustRightInd w:val="0"/>
              <w:spacing w:after="0" w:line="240" w:lineRule="auto"/>
              <w:jc w:val="both"/>
              <w:rPr>
                <w:rFonts w:eastAsia="Calibri" w:cs="Calibri"/>
                <w:sz w:val="20"/>
                <w:szCs w:val="20"/>
                <w:lang w:eastAsia="en-GB"/>
              </w:rPr>
            </w:pPr>
            <w:r w:rsidRPr="000155BB">
              <w:rPr>
                <w:rFonts w:eastAsia="Calibri" w:cs="Calibri"/>
                <w:sz w:val="20"/>
                <w:szCs w:val="20"/>
                <w:lang w:eastAsia="en-GB"/>
              </w:rPr>
              <w:t xml:space="preserve">The Practice Data Protection Officer is </w:t>
            </w:r>
            <w:r w:rsidR="00202A8B" w:rsidRPr="000155BB">
              <w:rPr>
                <w:rFonts w:eastAsia="Calibri" w:cs="Calibri"/>
                <w:sz w:val="20"/>
                <w:szCs w:val="20"/>
                <w:lang w:eastAsia="en-GB"/>
              </w:rPr>
              <w:t>Caroline Million, Independent Data Protection Officer.</w:t>
            </w:r>
            <w:r w:rsidRPr="000155BB">
              <w:rPr>
                <w:rFonts w:eastAsia="Calibri" w:cs="Calibri"/>
                <w:sz w:val="20"/>
                <w:szCs w:val="20"/>
                <w:lang w:eastAsia="en-GB"/>
              </w:rPr>
              <w:t xml:space="preserve"> Any queries regarding Data Protection issues should be addressed to</w:t>
            </w:r>
            <w:r w:rsidR="000155BB" w:rsidRPr="000155BB">
              <w:rPr>
                <w:rFonts w:eastAsia="Calibri" w:cs="Calibri"/>
                <w:sz w:val="20"/>
                <w:szCs w:val="20"/>
                <w:lang w:eastAsia="en-GB"/>
              </w:rPr>
              <w:t>:</w:t>
            </w:r>
          </w:p>
          <w:p w14:paraId="38498001" w14:textId="77777777" w:rsidR="002F59D9" w:rsidRPr="000155BB" w:rsidRDefault="00AE0D78" w:rsidP="00202A8B">
            <w:pPr>
              <w:autoSpaceDE w:val="0"/>
              <w:autoSpaceDN w:val="0"/>
              <w:adjustRightInd w:val="0"/>
              <w:spacing w:after="0" w:line="240" w:lineRule="auto"/>
              <w:ind w:firstLine="720"/>
              <w:jc w:val="both"/>
              <w:rPr>
                <w:rFonts w:eastAsia="Calibri" w:cs="Calibri"/>
                <w:sz w:val="20"/>
                <w:szCs w:val="20"/>
                <w:lang w:eastAsia="en-GB"/>
              </w:rPr>
            </w:pPr>
            <w:r w:rsidRPr="000155BB">
              <w:rPr>
                <w:rFonts w:eastAsia="Calibri" w:cs="Calibri"/>
                <w:sz w:val="20"/>
                <w:szCs w:val="20"/>
                <w:lang w:eastAsia="en-GB"/>
              </w:rPr>
              <w:t xml:space="preserve">Email: </w:t>
            </w:r>
            <w:r w:rsidRPr="000155BB">
              <w:rPr>
                <w:rFonts w:eastAsia="Calibri" w:cs="Calibri"/>
                <w:sz w:val="20"/>
                <w:szCs w:val="20"/>
                <w:lang w:eastAsia="en-GB"/>
              </w:rPr>
              <w:tab/>
            </w:r>
            <w:hyperlink r:id="rId7" w:history="1">
              <w:r w:rsidR="00202A8B" w:rsidRPr="000155BB">
                <w:rPr>
                  <w:rStyle w:val="Hyperlink"/>
                  <w:rFonts w:eastAsia="Calibri" w:cs="Calibri"/>
                  <w:sz w:val="20"/>
                  <w:szCs w:val="20"/>
                  <w:lang w:eastAsia="en-GB"/>
                </w:rPr>
                <w:t>Caroline.million@outlook.com</w:t>
              </w:r>
            </w:hyperlink>
          </w:p>
          <w:p w14:paraId="76C076AF" w14:textId="77777777" w:rsidR="00202A8B" w:rsidRPr="000155BB" w:rsidRDefault="00202A8B" w:rsidP="00202A8B">
            <w:pPr>
              <w:autoSpaceDE w:val="0"/>
              <w:autoSpaceDN w:val="0"/>
              <w:adjustRightInd w:val="0"/>
              <w:spacing w:after="0" w:line="240" w:lineRule="auto"/>
              <w:ind w:firstLine="720"/>
              <w:jc w:val="both"/>
              <w:rPr>
                <w:rFonts w:cs="Calibri"/>
                <w:color w:val="339966"/>
                <w:sz w:val="24"/>
                <w:szCs w:val="24"/>
                <w:lang w:eastAsia="en-GB"/>
              </w:rPr>
            </w:pPr>
            <w:r w:rsidRPr="000155BB">
              <w:rPr>
                <w:rFonts w:eastAsia="Calibri" w:cs="Calibri"/>
                <w:sz w:val="20"/>
                <w:szCs w:val="20"/>
                <w:lang w:eastAsia="en-GB"/>
              </w:rPr>
              <w:t>Telephone 07912 975522</w:t>
            </w:r>
          </w:p>
        </w:tc>
      </w:tr>
      <w:tr w:rsidR="002F59D9" w:rsidRPr="000155BB" w14:paraId="2C0D772E" w14:textId="77777777" w:rsidTr="00971718">
        <w:trPr>
          <w:trHeight w:val="2584"/>
        </w:trPr>
        <w:tc>
          <w:tcPr>
            <w:tcW w:w="3227" w:type="dxa"/>
            <w:noWrap/>
          </w:tcPr>
          <w:p w14:paraId="277D11AA" w14:textId="77777777" w:rsidR="002F59D9" w:rsidRPr="000155BB" w:rsidRDefault="002F59D9" w:rsidP="00ED630F">
            <w:pPr>
              <w:spacing w:after="0" w:line="240" w:lineRule="auto"/>
              <w:rPr>
                <w:rFonts w:cs="Calibri"/>
                <w:color w:val="000000"/>
                <w:sz w:val="24"/>
                <w:szCs w:val="24"/>
                <w:lang w:eastAsia="en-GB"/>
              </w:rPr>
            </w:pPr>
            <w:r w:rsidRPr="000155BB">
              <w:rPr>
                <w:rFonts w:cs="Calibri"/>
                <w:color w:val="000000"/>
                <w:sz w:val="24"/>
                <w:szCs w:val="24"/>
                <w:lang w:eastAsia="en-GB"/>
              </w:rPr>
              <w:t xml:space="preserve">3) </w:t>
            </w:r>
            <w:r w:rsidRPr="000155BB">
              <w:rPr>
                <w:rFonts w:cs="Calibri"/>
                <w:b/>
                <w:color w:val="000000"/>
                <w:sz w:val="24"/>
                <w:szCs w:val="24"/>
                <w:lang w:eastAsia="en-GB"/>
              </w:rPr>
              <w:t>Purpose</w:t>
            </w:r>
            <w:r w:rsidRPr="000155BB">
              <w:rPr>
                <w:rFonts w:cs="Calibri"/>
                <w:color w:val="000000"/>
                <w:sz w:val="24"/>
                <w:szCs w:val="24"/>
                <w:lang w:eastAsia="en-GB"/>
              </w:rPr>
              <w:t xml:space="preserve"> of the  processing</w:t>
            </w:r>
          </w:p>
        </w:tc>
        <w:tc>
          <w:tcPr>
            <w:tcW w:w="7371" w:type="dxa"/>
            <w:noWrap/>
          </w:tcPr>
          <w:p w14:paraId="041B72BD" w14:textId="77777777" w:rsidR="002F59D9" w:rsidRPr="000155BB" w:rsidRDefault="005F558D" w:rsidP="00255F4D">
            <w:pPr>
              <w:spacing w:after="0" w:line="240" w:lineRule="auto"/>
              <w:rPr>
                <w:rFonts w:cs="Calibri"/>
                <w:color w:val="000000"/>
                <w:sz w:val="24"/>
                <w:szCs w:val="24"/>
                <w:lang w:eastAsia="en-GB"/>
              </w:rPr>
            </w:pPr>
            <w:r w:rsidRPr="000155BB">
              <w:rPr>
                <w:rFonts w:cs="Calibri"/>
                <w:color w:val="000000"/>
                <w:sz w:val="24"/>
                <w:szCs w:val="24"/>
                <w:lang w:eastAsia="en-GB"/>
              </w:rPr>
              <w:t>To facilitate your access to care</w:t>
            </w:r>
          </w:p>
        </w:tc>
      </w:tr>
      <w:tr w:rsidR="002F59D9" w:rsidRPr="000155BB" w14:paraId="472D15F0" w14:textId="77777777" w:rsidTr="00971718">
        <w:trPr>
          <w:trHeight w:val="300"/>
        </w:trPr>
        <w:tc>
          <w:tcPr>
            <w:tcW w:w="3227" w:type="dxa"/>
            <w:noWrap/>
          </w:tcPr>
          <w:p w14:paraId="1BA1F43C" w14:textId="77777777" w:rsidR="002F59D9" w:rsidRPr="000155BB" w:rsidRDefault="002F59D9" w:rsidP="00ED630F">
            <w:pPr>
              <w:spacing w:after="0" w:line="240" w:lineRule="auto"/>
              <w:rPr>
                <w:rFonts w:cs="Calibri"/>
                <w:color w:val="000000"/>
                <w:sz w:val="24"/>
                <w:szCs w:val="24"/>
                <w:lang w:eastAsia="en-GB"/>
              </w:rPr>
            </w:pPr>
            <w:r w:rsidRPr="000155BB">
              <w:rPr>
                <w:rFonts w:cs="Calibri"/>
                <w:color w:val="000000"/>
                <w:sz w:val="24"/>
                <w:szCs w:val="24"/>
                <w:lang w:eastAsia="en-GB"/>
              </w:rPr>
              <w:t xml:space="preserve">4) </w:t>
            </w:r>
            <w:r w:rsidRPr="000155BB">
              <w:rPr>
                <w:rFonts w:cs="Calibri"/>
                <w:b/>
                <w:color w:val="000000"/>
                <w:sz w:val="24"/>
                <w:szCs w:val="24"/>
                <w:lang w:eastAsia="en-GB"/>
              </w:rPr>
              <w:t>Lawful basis</w:t>
            </w:r>
            <w:r w:rsidRPr="000155BB">
              <w:rPr>
                <w:rFonts w:cs="Calibri"/>
                <w:color w:val="000000"/>
                <w:sz w:val="24"/>
                <w:szCs w:val="24"/>
                <w:lang w:eastAsia="en-GB"/>
              </w:rPr>
              <w:t xml:space="preserve"> for  processing</w:t>
            </w:r>
          </w:p>
        </w:tc>
        <w:tc>
          <w:tcPr>
            <w:tcW w:w="7371" w:type="dxa"/>
            <w:noWrap/>
          </w:tcPr>
          <w:p w14:paraId="2F235114" w14:textId="77777777" w:rsidR="002F59D9" w:rsidRPr="000155BB" w:rsidRDefault="002F59D9" w:rsidP="00BD29A5">
            <w:pPr>
              <w:rPr>
                <w:rFonts w:cs="Calibri"/>
                <w:color w:val="000000"/>
                <w:sz w:val="24"/>
                <w:szCs w:val="24"/>
                <w:lang w:eastAsia="en-GB"/>
              </w:rPr>
            </w:pPr>
            <w:r w:rsidRPr="000155BB">
              <w:rPr>
                <w:rFonts w:cs="Calibri"/>
                <w:sz w:val="24"/>
                <w:szCs w:val="24"/>
              </w:rPr>
              <w:t xml:space="preserve">The processing of personal data in the delivery of direct care and for providers’ administrative purposes in this surgery and in support of direct care elsewhere </w:t>
            </w:r>
            <w:r w:rsidRPr="000155BB">
              <w:rPr>
                <w:rFonts w:cs="Calibri"/>
                <w:color w:val="000000"/>
                <w:sz w:val="24"/>
                <w:szCs w:val="24"/>
                <w:lang w:eastAsia="en-GB"/>
              </w:rPr>
              <w:t xml:space="preserve"> is supported under the following Article 6 and 9 conditions of the GDPR:</w:t>
            </w:r>
          </w:p>
          <w:p w14:paraId="78EA3757" w14:textId="77777777" w:rsidR="002F59D9" w:rsidRPr="000155BB" w:rsidRDefault="002F59D9" w:rsidP="00BD29A5">
            <w:pPr>
              <w:ind w:left="720"/>
              <w:rPr>
                <w:rFonts w:cs="Calibri"/>
                <w:i/>
                <w:sz w:val="24"/>
                <w:szCs w:val="24"/>
              </w:rPr>
            </w:pPr>
            <w:r w:rsidRPr="000155BB">
              <w:rPr>
                <w:rFonts w:cs="Calibri"/>
                <w:i/>
                <w:color w:val="000000"/>
                <w:sz w:val="24"/>
                <w:szCs w:val="24"/>
                <w:lang w:eastAsia="en-GB"/>
              </w:rPr>
              <w:t xml:space="preserve">Article </w:t>
            </w:r>
            <w:r w:rsidRPr="000155BB">
              <w:rPr>
                <w:rFonts w:cs="Calibri"/>
                <w:i/>
                <w:sz w:val="24"/>
                <w:szCs w:val="24"/>
              </w:rPr>
              <w:t>6(1)(e) ‘…necessary for the performance of a task carried out in the public interest or in the exercise of official authority…’.</w:t>
            </w:r>
          </w:p>
          <w:p w14:paraId="4C5A04F5" w14:textId="77777777" w:rsidR="002F59D9" w:rsidRPr="000155BB" w:rsidRDefault="002F59D9" w:rsidP="00BD29A5">
            <w:pPr>
              <w:spacing w:after="0" w:line="240" w:lineRule="auto"/>
              <w:ind w:left="720"/>
              <w:rPr>
                <w:rFonts w:cs="Calibri"/>
                <w:i/>
                <w:color w:val="000000"/>
                <w:sz w:val="24"/>
                <w:szCs w:val="24"/>
              </w:rPr>
            </w:pPr>
            <w:r w:rsidRPr="000155BB">
              <w:rPr>
                <w:rFonts w:cs="Calibri"/>
                <w:i/>
                <w:color w:val="000000"/>
                <w:sz w:val="24"/>
                <w:szCs w:val="24"/>
                <w:lang w:eastAsia="en-GB"/>
              </w:rPr>
              <w:t>Article 9(2)(h)</w:t>
            </w:r>
            <w:r w:rsidRPr="000155BB">
              <w:rPr>
                <w:rFonts w:cs="Calibri"/>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47D0AB0" w14:textId="77777777" w:rsidR="002F59D9" w:rsidRPr="000155BB" w:rsidRDefault="002F59D9" w:rsidP="00CB1B71">
            <w:pPr>
              <w:spacing w:after="0" w:line="240" w:lineRule="auto"/>
              <w:rPr>
                <w:rFonts w:cs="Calibri"/>
                <w:color w:val="000000"/>
                <w:sz w:val="24"/>
                <w:szCs w:val="24"/>
              </w:rPr>
            </w:pPr>
          </w:p>
          <w:p w14:paraId="3C0FDA0E" w14:textId="77777777" w:rsidR="002F59D9" w:rsidRPr="000155BB" w:rsidRDefault="002F59D9" w:rsidP="00CB1B71">
            <w:pPr>
              <w:spacing w:after="0" w:line="240" w:lineRule="auto"/>
              <w:rPr>
                <w:rFonts w:cs="Calibri"/>
                <w:color w:val="000000"/>
                <w:sz w:val="24"/>
                <w:szCs w:val="24"/>
                <w:lang w:eastAsia="en-GB"/>
              </w:rPr>
            </w:pPr>
            <w:r w:rsidRPr="000155BB">
              <w:rPr>
                <w:rFonts w:cs="Calibri"/>
                <w:color w:val="000000"/>
                <w:sz w:val="24"/>
                <w:szCs w:val="24"/>
                <w:lang w:eastAsia="en-GB"/>
              </w:rPr>
              <w:t>We will also recognise your rights established under UK case law collectively known as the “Common Law Duty of Confidentiality”</w:t>
            </w:r>
            <w:r w:rsidRPr="000155BB">
              <w:rPr>
                <w:rFonts w:cs="Calibri"/>
                <w:color w:val="000000"/>
                <w:sz w:val="24"/>
                <w:szCs w:val="24"/>
                <w:vertAlign w:val="superscript"/>
                <w:lang w:eastAsia="en-GB"/>
              </w:rPr>
              <w:t>*</w:t>
            </w:r>
          </w:p>
        </w:tc>
      </w:tr>
      <w:tr w:rsidR="002F59D9" w:rsidRPr="000155BB" w14:paraId="76A073AC" w14:textId="77777777" w:rsidTr="00971718">
        <w:trPr>
          <w:trHeight w:val="300"/>
        </w:trPr>
        <w:tc>
          <w:tcPr>
            <w:tcW w:w="3227" w:type="dxa"/>
            <w:noWrap/>
          </w:tcPr>
          <w:p w14:paraId="27AF83A3" w14:textId="77777777" w:rsidR="002F59D9" w:rsidRPr="000155BB" w:rsidRDefault="002F59D9" w:rsidP="00ED630F">
            <w:pPr>
              <w:spacing w:after="0" w:line="240" w:lineRule="auto"/>
              <w:rPr>
                <w:rFonts w:cs="Calibri"/>
                <w:color w:val="000000"/>
                <w:sz w:val="24"/>
                <w:szCs w:val="24"/>
                <w:lang w:eastAsia="en-GB"/>
              </w:rPr>
            </w:pPr>
            <w:r w:rsidRPr="000155BB">
              <w:rPr>
                <w:rFonts w:cs="Calibri"/>
                <w:color w:val="000000"/>
                <w:sz w:val="24"/>
                <w:szCs w:val="24"/>
                <w:lang w:eastAsia="en-GB"/>
              </w:rPr>
              <w:lastRenderedPageBreak/>
              <w:t xml:space="preserve">5) </w:t>
            </w:r>
            <w:r w:rsidRPr="000155BB">
              <w:rPr>
                <w:rFonts w:cs="Calibri"/>
                <w:b/>
                <w:color w:val="000000"/>
                <w:sz w:val="24"/>
                <w:szCs w:val="24"/>
                <w:lang w:eastAsia="en-GB"/>
              </w:rPr>
              <w:t xml:space="preserve">Recipient or categories of recipients </w:t>
            </w:r>
            <w:r w:rsidRPr="000155BB">
              <w:rPr>
                <w:rFonts w:cs="Calibri"/>
                <w:color w:val="000000"/>
                <w:sz w:val="24"/>
                <w:szCs w:val="24"/>
                <w:lang w:eastAsia="en-GB"/>
              </w:rPr>
              <w:t>of the processed data</w:t>
            </w:r>
          </w:p>
        </w:tc>
        <w:tc>
          <w:tcPr>
            <w:tcW w:w="7371" w:type="dxa"/>
            <w:noWrap/>
          </w:tcPr>
          <w:p w14:paraId="1359C9D4" w14:textId="77777777" w:rsidR="002F59D9" w:rsidRPr="000155BB" w:rsidRDefault="005F558D" w:rsidP="00D81134">
            <w:pPr>
              <w:spacing w:after="0" w:line="240" w:lineRule="auto"/>
              <w:rPr>
                <w:rFonts w:cs="Calibri"/>
                <w:color w:val="000000"/>
                <w:sz w:val="24"/>
                <w:szCs w:val="24"/>
                <w:lang w:eastAsia="en-GB"/>
              </w:rPr>
            </w:pPr>
            <w:r w:rsidRPr="000155BB">
              <w:rPr>
                <w:rFonts w:cs="Calibri"/>
                <w:color w:val="000000"/>
                <w:sz w:val="24"/>
                <w:szCs w:val="24"/>
                <w:lang w:eastAsia="en-GB"/>
              </w:rPr>
              <w:t xml:space="preserve">Necessary </w:t>
            </w:r>
            <w:r w:rsidR="002F59D9" w:rsidRPr="000155BB">
              <w:rPr>
                <w:rFonts w:cs="Calibri"/>
                <w:color w:val="000000"/>
                <w:sz w:val="24"/>
                <w:szCs w:val="24"/>
                <w:lang w:eastAsia="en-GB"/>
              </w:rPr>
              <w:t>data will be shared with Health and care professionals and support staff in this surgery</w:t>
            </w:r>
            <w:r w:rsidRPr="000155BB">
              <w:rPr>
                <w:rFonts w:cs="Calibri"/>
                <w:color w:val="000000"/>
                <w:sz w:val="24"/>
                <w:szCs w:val="24"/>
                <w:lang w:eastAsia="en-GB"/>
              </w:rPr>
              <w:t xml:space="preserve">. Actual recordings will not be shared with anyone outside the practice. The actual recordings are stored on the telephone system and after a designated period are deleted. Calls used for training or dispute resolution purposes may be saved onto the practice shared drive and will be deleted once the training or dispute is resolved. </w:t>
            </w:r>
          </w:p>
        </w:tc>
      </w:tr>
      <w:tr w:rsidR="002F59D9" w:rsidRPr="000155BB" w14:paraId="3029F45F" w14:textId="77777777" w:rsidTr="00971718">
        <w:trPr>
          <w:trHeight w:val="300"/>
        </w:trPr>
        <w:tc>
          <w:tcPr>
            <w:tcW w:w="3227" w:type="dxa"/>
            <w:noWrap/>
          </w:tcPr>
          <w:p w14:paraId="04828D64" w14:textId="77777777" w:rsidR="002F59D9" w:rsidRPr="000155BB" w:rsidRDefault="002F59D9" w:rsidP="00255F4D">
            <w:pPr>
              <w:spacing w:after="0" w:line="240" w:lineRule="auto"/>
              <w:rPr>
                <w:rFonts w:cs="Calibri"/>
                <w:color w:val="000000"/>
                <w:sz w:val="24"/>
                <w:szCs w:val="24"/>
                <w:lang w:eastAsia="en-GB"/>
              </w:rPr>
            </w:pPr>
            <w:r w:rsidRPr="000155BB">
              <w:rPr>
                <w:rFonts w:cs="Calibri"/>
                <w:color w:val="000000"/>
                <w:sz w:val="24"/>
                <w:szCs w:val="24"/>
                <w:lang w:eastAsia="en-GB"/>
              </w:rPr>
              <w:t xml:space="preserve">6) </w:t>
            </w:r>
            <w:r w:rsidRPr="000155BB">
              <w:rPr>
                <w:rFonts w:cs="Calibri"/>
                <w:b/>
                <w:color w:val="000000"/>
                <w:sz w:val="24"/>
                <w:szCs w:val="24"/>
                <w:lang w:eastAsia="en-GB"/>
              </w:rPr>
              <w:t>Rights to object</w:t>
            </w:r>
            <w:r w:rsidRPr="000155BB">
              <w:rPr>
                <w:rFonts w:cs="Calibri"/>
                <w:color w:val="000000"/>
                <w:sz w:val="24"/>
                <w:szCs w:val="24"/>
                <w:lang w:eastAsia="en-GB"/>
              </w:rPr>
              <w:t xml:space="preserve"> </w:t>
            </w:r>
          </w:p>
        </w:tc>
        <w:tc>
          <w:tcPr>
            <w:tcW w:w="7371" w:type="dxa"/>
            <w:noWrap/>
          </w:tcPr>
          <w:p w14:paraId="1F76EB34" w14:textId="77777777" w:rsidR="002F59D9" w:rsidRPr="000155BB" w:rsidRDefault="002F59D9" w:rsidP="00255F4D">
            <w:pPr>
              <w:spacing w:after="0" w:line="240" w:lineRule="auto"/>
              <w:rPr>
                <w:rFonts w:cs="Calibri"/>
                <w:color w:val="000000"/>
                <w:sz w:val="24"/>
                <w:szCs w:val="24"/>
                <w:lang w:eastAsia="en-GB"/>
              </w:rPr>
            </w:pPr>
            <w:r w:rsidRPr="000155BB">
              <w:rPr>
                <w:rFonts w:cs="Calibri"/>
                <w:color w:val="000000"/>
                <w:sz w:val="24"/>
                <w:szCs w:val="24"/>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2F59D9" w:rsidRPr="000155BB" w14:paraId="4CEE2CAF" w14:textId="77777777" w:rsidTr="00971718">
        <w:trPr>
          <w:trHeight w:val="300"/>
        </w:trPr>
        <w:tc>
          <w:tcPr>
            <w:tcW w:w="3227" w:type="dxa"/>
            <w:noWrap/>
          </w:tcPr>
          <w:p w14:paraId="5490A91E" w14:textId="77777777" w:rsidR="002F59D9" w:rsidRPr="000155BB" w:rsidRDefault="002F59D9" w:rsidP="00255F4D">
            <w:pPr>
              <w:spacing w:after="0" w:line="240" w:lineRule="auto"/>
              <w:rPr>
                <w:rFonts w:cs="Calibri"/>
                <w:color w:val="000000"/>
                <w:sz w:val="24"/>
                <w:szCs w:val="24"/>
                <w:lang w:eastAsia="en-GB"/>
              </w:rPr>
            </w:pPr>
            <w:r w:rsidRPr="000155BB">
              <w:rPr>
                <w:rFonts w:cs="Calibri"/>
                <w:color w:val="000000"/>
                <w:sz w:val="24"/>
                <w:szCs w:val="24"/>
                <w:lang w:eastAsia="en-GB"/>
              </w:rPr>
              <w:t xml:space="preserve">7) </w:t>
            </w:r>
            <w:r w:rsidRPr="000155BB">
              <w:rPr>
                <w:rFonts w:cs="Calibri"/>
                <w:b/>
                <w:color w:val="000000"/>
                <w:sz w:val="24"/>
                <w:szCs w:val="24"/>
                <w:lang w:eastAsia="en-GB"/>
              </w:rPr>
              <w:t>Right to access and correct</w:t>
            </w:r>
          </w:p>
        </w:tc>
        <w:tc>
          <w:tcPr>
            <w:tcW w:w="7371" w:type="dxa"/>
            <w:noWrap/>
          </w:tcPr>
          <w:p w14:paraId="4CB4BE1D" w14:textId="77777777" w:rsidR="002F59D9" w:rsidRPr="000155BB" w:rsidRDefault="002F59D9" w:rsidP="00255F4D">
            <w:pPr>
              <w:spacing w:after="0" w:line="240" w:lineRule="auto"/>
              <w:rPr>
                <w:rFonts w:cs="Calibri"/>
                <w:color w:val="000000"/>
                <w:sz w:val="24"/>
                <w:szCs w:val="24"/>
                <w:lang w:eastAsia="en-GB"/>
              </w:rPr>
            </w:pPr>
            <w:r w:rsidRPr="000155BB">
              <w:rPr>
                <w:rFonts w:cs="Calibri"/>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2F59D9" w:rsidRPr="000155BB" w14:paraId="1A3BE07A" w14:textId="77777777" w:rsidTr="00971718">
        <w:trPr>
          <w:trHeight w:val="300"/>
        </w:trPr>
        <w:tc>
          <w:tcPr>
            <w:tcW w:w="3227" w:type="dxa"/>
            <w:noWrap/>
          </w:tcPr>
          <w:p w14:paraId="683520B8" w14:textId="77777777" w:rsidR="002F59D9" w:rsidRPr="000155BB" w:rsidRDefault="002F59D9" w:rsidP="00BB6FA9">
            <w:pPr>
              <w:spacing w:after="0" w:line="240" w:lineRule="auto"/>
              <w:rPr>
                <w:rFonts w:cs="Calibri"/>
                <w:color w:val="000000"/>
                <w:sz w:val="24"/>
                <w:szCs w:val="24"/>
                <w:lang w:eastAsia="en-GB"/>
              </w:rPr>
            </w:pPr>
            <w:r w:rsidRPr="000155BB">
              <w:rPr>
                <w:rFonts w:cs="Calibri"/>
                <w:color w:val="000000"/>
                <w:sz w:val="24"/>
                <w:szCs w:val="24"/>
                <w:lang w:eastAsia="en-GB"/>
              </w:rPr>
              <w:t>8</w:t>
            </w:r>
            <w:r w:rsidRPr="000155BB">
              <w:rPr>
                <w:rFonts w:cs="Calibri"/>
                <w:b/>
                <w:color w:val="000000"/>
                <w:sz w:val="24"/>
                <w:szCs w:val="24"/>
                <w:lang w:eastAsia="en-GB"/>
              </w:rPr>
              <w:t>) Retention period</w:t>
            </w:r>
            <w:r w:rsidRPr="000155BB">
              <w:rPr>
                <w:rFonts w:cs="Calibri"/>
                <w:color w:val="000000"/>
                <w:sz w:val="24"/>
                <w:szCs w:val="24"/>
                <w:lang w:eastAsia="en-GB"/>
              </w:rPr>
              <w:t xml:space="preserve"> </w:t>
            </w:r>
          </w:p>
        </w:tc>
        <w:tc>
          <w:tcPr>
            <w:tcW w:w="7371" w:type="dxa"/>
            <w:noWrap/>
          </w:tcPr>
          <w:p w14:paraId="5935294E" w14:textId="77777777" w:rsidR="002F59D9" w:rsidRPr="000155BB" w:rsidRDefault="002F59D9" w:rsidP="00776807">
            <w:pPr>
              <w:spacing w:after="0" w:line="240" w:lineRule="auto"/>
              <w:rPr>
                <w:rFonts w:cs="Calibri"/>
                <w:lang w:eastAsia="en-GB"/>
              </w:rPr>
            </w:pPr>
            <w:r w:rsidRPr="000155BB">
              <w:rPr>
                <w:rFonts w:cs="Calibri"/>
                <w:color w:val="000000"/>
                <w:sz w:val="24"/>
                <w:szCs w:val="24"/>
                <w:lang w:eastAsia="en-GB"/>
              </w:rPr>
              <w:t xml:space="preserve">The data will be retained in line with the law and national guidance. </w:t>
            </w:r>
            <w:r w:rsidRPr="000155BB">
              <w:rPr>
                <w:rFonts w:cs="Calibri"/>
                <w:lang w:eastAsia="en-GB"/>
              </w:rPr>
              <w:t xml:space="preserve">https://digital.nhs.uk/article/1202/Records-Management-Code-of-Practice-for-Health-and-Social-Care-2016 </w:t>
            </w:r>
          </w:p>
          <w:p w14:paraId="677E75D7" w14:textId="77777777" w:rsidR="002F59D9" w:rsidRPr="000155BB" w:rsidRDefault="002F59D9" w:rsidP="00776807">
            <w:pPr>
              <w:spacing w:after="0" w:line="240" w:lineRule="auto"/>
              <w:rPr>
                <w:rFonts w:cs="Calibri"/>
              </w:rPr>
            </w:pPr>
            <w:r w:rsidRPr="000155BB">
              <w:rPr>
                <w:rFonts w:cs="Calibri"/>
                <w:lang w:eastAsia="en-GB"/>
              </w:rPr>
              <w:t>or speak to the practice.</w:t>
            </w:r>
          </w:p>
          <w:p w14:paraId="797BB782" w14:textId="77777777" w:rsidR="002F59D9" w:rsidRPr="000155BB" w:rsidRDefault="002F59D9" w:rsidP="00BB6FA9">
            <w:pPr>
              <w:spacing w:after="0" w:line="240" w:lineRule="auto"/>
              <w:rPr>
                <w:rFonts w:cs="Calibri"/>
                <w:color w:val="000000"/>
                <w:sz w:val="24"/>
                <w:szCs w:val="24"/>
                <w:lang w:eastAsia="en-GB"/>
              </w:rPr>
            </w:pPr>
          </w:p>
        </w:tc>
      </w:tr>
      <w:tr w:rsidR="002F59D9" w:rsidRPr="000155BB" w14:paraId="43607B6F" w14:textId="77777777" w:rsidTr="00971718">
        <w:trPr>
          <w:trHeight w:val="300"/>
        </w:trPr>
        <w:tc>
          <w:tcPr>
            <w:tcW w:w="3227" w:type="dxa"/>
            <w:noWrap/>
          </w:tcPr>
          <w:p w14:paraId="061F71AE" w14:textId="77777777" w:rsidR="002F59D9" w:rsidRPr="000155BB" w:rsidRDefault="002F59D9" w:rsidP="00255F4D">
            <w:pPr>
              <w:spacing w:after="0" w:line="240" w:lineRule="auto"/>
              <w:rPr>
                <w:rFonts w:cs="Calibri"/>
                <w:color w:val="000000"/>
                <w:sz w:val="24"/>
                <w:szCs w:val="24"/>
                <w:lang w:eastAsia="en-GB"/>
              </w:rPr>
            </w:pPr>
            <w:r w:rsidRPr="000155BB">
              <w:rPr>
                <w:rFonts w:cs="Calibri"/>
                <w:color w:val="000000"/>
                <w:sz w:val="24"/>
                <w:szCs w:val="24"/>
                <w:lang w:eastAsia="en-GB"/>
              </w:rPr>
              <w:t xml:space="preserve">9)  </w:t>
            </w:r>
            <w:r w:rsidRPr="000155BB">
              <w:rPr>
                <w:rFonts w:cs="Calibri"/>
                <w:b/>
                <w:color w:val="000000"/>
                <w:sz w:val="24"/>
                <w:szCs w:val="24"/>
                <w:lang w:eastAsia="en-GB"/>
              </w:rPr>
              <w:t>Right to Complain</w:t>
            </w:r>
            <w:r w:rsidRPr="000155BB">
              <w:rPr>
                <w:rFonts w:cs="Calibri"/>
                <w:color w:val="000000"/>
                <w:sz w:val="24"/>
                <w:szCs w:val="24"/>
                <w:lang w:eastAsia="en-GB"/>
              </w:rPr>
              <w:t xml:space="preserve">. </w:t>
            </w:r>
          </w:p>
        </w:tc>
        <w:tc>
          <w:tcPr>
            <w:tcW w:w="7371" w:type="dxa"/>
            <w:noWrap/>
          </w:tcPr>
          <w:p w14:paraId="7F58CD04" w14:textId="77777777" w:rsidR="002F59D9" w:rsidRPr="000155BB" w:rsidRDefault="002F59D9" w:rsidP="00255F4D">
            <w:pPr>
              <w:spacing w:after="0" w:line="240" w:lineRule="auto"/>
              <w:rPr>
                <w:rFonts w:cs="Calibri"/>
                <w:color w:val="000000"/>
                <w:sz w:val="24"/>
                <w:szCs w:val="24"/>
                <w:lang w:eastAsia="en-GB"/>
              </w:rPr>
            </w:pPr>
            <w:r w:rsidRPr="000155BB">
              <w:rPr>
                <w:rFonts w:cs="Calibri"/>
                <w:color w:val="000000"/>
                <w:sz w:val="24"/>
                <w:szCs w:val="24"/>
                <w:lang w:eastAsia="en-GB"/>
              </w:rPr>
              <w:t>You have the right to complain to the Information Commissioner’s Office, you can use this link</w:t>
            </w:r>
            <w:r w:rsidRPr="000155BB">
              <w:rPr>
                <w:rFonts w:cs="Calibri"/>
                <w:sz w:val="24"/>
              </w:rPr>
              <w:t xml:space="preserve"> </w:t>
            </w:r>
            <w:hyperlink r:id="rId8" w:history="1">
              <w:r w:rsidRPr="000155BB">
                <w:rPr>
                  <w:rStyle w:val="Hyperlink"/>
                  <w:rFonts w:cs="Calibri"/>
                  <w:sz w:val="24"/>
                  <w:szCs w:val="24"/>
                  <w:lang w:eastAsia="en-GB"/>
                </w:rPr>
                <w:t>https://ico.org.uk/global/contact-us/</w:t>
              </w:r>
            </w:hyperlink>
            <w:r w:rsidRPr="000155BB">
              <w:rPr>
                <w:rFonts w:cs="Calibri"/>
                <w:color w:val="000000"/>
                <w:sz w:val="24"/>
                <w:szCs w:val="24"/>
                <w:lang w:eastAsia="en-GB"/>
              </w:rPr>
              <w:t xml:space="preserve">  </w:t>
            </w:r>
          </w:p>
          <w:p w14:paraId="0CBE041F" w14:textId="77777777" w:rsidR="002F59D9" w:rsidRPr="000155BB" w:rsidRDefault="002F59D9" w:rsidP="00255F4D">
            <w:pPr>
              <w:spacing w:after="0" w:line="240" w:lineRule="auto"/>
              <w:rPr>
                <w:rFonts w:cs="Calibri"/>
                <w:color w:val="000000"/>
                <w:sz w:val="24"/>
                <w:szCs w:val="24"/>
                <w:lang w:eastAsia="en-GB"/>
              </w:rPr>
            </w:pPr>
          </w:p>
          <w:p w14:paraId="70B0E1DD" w14:textId="77777777" w:rsidR="002F59D9" w:rsidRPr="000155BB" w:rsidRDefault="002F59D9" w:rsidP="00BD29A5">
            <w:pPr>
              <w:shd w:val="clear" w:color="auto" w:fill="FFFFFF"/>
              <w:spacing w:after="240" w:line="240" w:lineRule="auto"/>
              <w:rPr>
                <w:rFonts w:cs="Calibri"/>
                <w:color w:val="000000"/>
                <w:sz w:val="24"/>
                <w:szCs w:val="24"/>
                <w:lang w:eastAsia="en-GB"/>
              </w:rPr>
            </w:pPr>
            <w:r w:rsidRPr="000155BB">
              <w:rPr>
                <w:rFonts w:cs="Calibri"/>
                <w:color w:val="000000"/>
                <w:sz w:val="24"/>
                <w:szCs w:val="24"/>
                <w:lang w:eastAsia="en-GB"/>
              </w:rPr>
              <w:t xml:space="preserve">or calling their helpline Tel: 0303 123 1113 (local rate) or 01625 545 745 (national rate) </w:t>
            </w:r>
          </w:p>
          <w:p w14:paraId="4CD5DBDD" w14:textId="77777777" w:rsidR="002F59D9" w:rsidRPr="000155BB" w:rsidRDefault="002F59D9" w:rsidP="00BD29A5">
            <w:pPr>
              <w:shd w:val="clear" w:color="auto" w:fill="FFFFFF"/>
              <w:spacing w:after="240" w:line="240" w:lineRule="auto"/>
              <w:rPr>
                <w:rFonts w:cs="Calibri"/>
                <w:color w:val="000000"/>
                <w:sz w:val="24"/>
                <w:szCs w:val="24"/>
                <w:lang w:eastAsia="en-GB"/>
              </w:rPr>
            </w:pPr>
            <w:r w:rsidRPr="000155BB">
              <w:rPr>
                <w:rFonts w:cs="Calibri"/>
                <w:color w:val="000000"/>
                <w:sz w:val="24"/>
                <w:szCs w:val="24"/>
                <w:lang w:eastAsia="en-GB"/>
              </w:rPr>
              <w:t>There are National Offices for Scotland, Northern Ireland and Wales, (see ICO website)</w:t>
            </w:r>
          </w:p>
        </w:tc>
      </w:tr>
    </w:tbl>
    <w:p w14:paraId="676C3C78" w14:textId="77777777" w:rsidR="002C7B02" w:rsidRPr="000155BB" w:rsidRDefault="002C7B02" w:rsidP="003902E4">
      <w:pPr>
        <w:rPr>
          <w:rFonts w:cs="Calibri"/>
        </w:rPr>
      </w:pPr>
    </w:p>
    <w:p w14:paraId="3E58BE0E" w14:textId="77777777" w:rsidR="002C14D3" w:rsidRPr="000155BB" w:rsidRDefault="002C14D3" w:rsidP="002C14D3">
      <w:pPr>
        <w:rPr>
          <w:rFonts w:cs="Calibri"/>
          <w:sz w:val="24"/>
          <w:szCs w:val="24"/>
        </w:rPr>
      </w:pPr>
      <w:r w:rsidRPr="000155BB">
        <w:rPr>
          <w:rFonts w:cs="Calibri"/>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6D7FFF97" w14:textId="77777777" w:rsidR="002C14D3" w:rsidRPr="000155BB" w:rsidRDefault="002C14D3" w:rsidP="002C14D3">
      <w:pPr>
        <w:rPr>
          <w:rFonts w:cs="Calibri"/>
          <w:sz w:val="24"/>
          <w:szCs w:val="24"/>
        </w:rPr>
      </w:pPr>
      <w:r w:rsidRPr="000155BB">
        <w:rPr>
          <w:rFonts w:cs="Calibri"/>
          <w:sz w:val="24"/>
          <w:szCs w:val="24"/>
        </w:rPr>
        <w:t>The general position is that if information is given in circumstances where it is expected that a duty of confidence applies, that information cannot normally be disclosed without the information provider's consent.</w:t>
      </w:r>
    </w:p>
    <w:p w14:paraId="627D4242" w14:textId="77777777" w:rsidR="002C14D3" w:rsidRPr="000155BB" w:rsidRDefault="002C14D3" w:rsidP="002C14D3">
      <w:pPr>
        <w:rPr>
          <w:rFonts w:cs="Calibri"/>
          <w:sz w:val="24"/>
          <w:szCs w:val="24"/>
        </w:rPr>
      </w:pPr>
      <w:r w:rsidRPr="000155BB">
        <w:rPr>
          <w:rFonts w:cs="Calibri"/>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7A63C84C" w14:textId="77777777" w:rsidR="002C14D3" w:rsidRPr="000155BB" w:rsidRDefault="002C14D3" w:rsidP="002C14D3">
      <w:pPr>
        <w:rPr>
          <w:rFonts w:cs="Calibri"/>
          <w:sz w:val="24"/>
          <w:szCs w:val="24"/>
        </w:rPr>
      </w:pPr>
      <w:r w:rsidRPr="000155BB">
        <w:rPr>
          <w:rFonts w:cs="Calibri"/>
          <w:sz w:val="24"/>
          <w:szCs w:val="24"/>
        </w:rPr>
        <w:t>Three circumstances making disclosure of confidential information lawful are:</w:t>
      </w:r>
    </w:p>
    <w:p w14:paraId="61080225" w14:textId="77777777" w:rsidR="002C14D3" w:rsidRPr="000155BB" w:rsidRDefault="002C14D3" w:rsidP="002C14D3">
      <w:pPr>
        <w:numPr>
          <w:ilvl w:val="0"/>
          <w:numId w:val="2"/>
        </w:numPr>
        <w:rPr>
          <w:rFonts w:cs="Calibri"/>
          <w:sz w:val="24"/>
          <w:szCs w:val="24"/>
        </w:rPr>
      </w:pPr>
      <w:r w:rsidRPr="000155BB">
        <w:rPr>
          <w:rFonts w:cs="Calibri"/>
          <w:sz w:val="24"/>
          <w:szCs w:val="24"/>
        </w:rPr>
        <w:t>where the individual to whom the information relates has consented;</w:t>
      </w:r>
    </w:p>
    <w:p w14:paraId="0B472D12" w14:textId="77777777" w:rsidR="002C14D3" w:rsidRPr="000155BB" w:rsidRDefault="002C14D3" w:rsidP="002C14D3">
      <w:pPr>
        <w:numPr>
          <w:ilvl w:val="0"/>
          <w:numId w:val="2"/>
        </w:numPr>
        <w:rPr>
          <w:rFonts w:cs="Calibri"/>
          <w:sz w:val="24"/>
          <w:szCs w:val="24"/>
        </w:rPr>
      </w:pPr>
      <w:r w:rsidRPr="000155BB">
        <w:rPr>
          <w:rFonts w:cs="Calibri"/>
          <w:sz w:val="24"/>
          <w:szCs w:val="24"/>
        </w:rPr>
        <w:t>where disclosure is in the public interest; and</w:t>
      </w:r>
    </w:p>
    <w:p w14:paraId="4498C708" w14:textId="77777777" w:rsidR="002C14D3" w:rsidRPr="000155BB" w:rsidRDefault="002C14D3" w:rsidP="002C14D3">
      <w:pPr>
        <w:numPr>
          <w:ilvl w:val="0"/>
          <w:numId w:val="2"/>
        </w:numPr>
        <w:rPr>
          <w:rFonts w:cs="Calibri"/>
          <w:sz w:val="24"/>
          <w:szCs w:val="24"/>
        </w:rPr>
      </w:pPr>
      <w:r w:rsidRPr="000155BB">
        <w:rPr>
          <w:rFonts w:cs="Calibri"/>
          <w:sz w:val="24"/>
          <w:szCs w:val="24"/>
        </w:rPr>
        <w:t>where there is a legal duty to do so, for example a court order.</w:t>
      </w:r>
    </w:p>
    <w:p w14:paraId="3418604A" w14:textId="77777777" w:rsidR="002C14D3" w:rsidRPr="000155BB" w:rsidRDefault="002C14D3" w:rsidP="003902E4">
      <w:pPr>
        <w:rPr>
          <w:rFonts w:cs="Calibri"/>
        </w:rPr>
      </w:pPr>
    </w:p>
    <w:sectPr w:rsidR="002C14D3" w:rsidRPr="000155BB" w:rsidSect="003902E4">
      <w:headerReference w:type="default" r:id="rId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0316" w14:textId="77777777" w:rsidR="00D60051" w:rsidRDefault="00D60051" w:rsidP="00F07C61">
      <w:pPr>
        <w:spacing w:after="0" w:line="240" w:lineRule="auto"/>
      </w:pPr>
      <w:r>
        <w:separator/>
      </w:r>
    </w:p>
  </w:endnote>
  <w:endnote w:type="continuationSeparator" w:id="0">
    <w:p w14:paraId="724EC72E" w14:textId="77777777" w:rsidR="00D60051" w:rsidRDefault="00D60051"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B638" w14:textId="77777777" w:rsidR="00D60051" w:rsidRDefault="00D60051" w:rsidP="00F07C61">
      <w:pPr>
        <w:spacing w:after="0" w:line="240" w:lineRule="auto"/>
      </w:pPr>
      <w:r>
        <w:separator/>
      </w:r>
    </w:p>
  </w:footnote>
  <w:footnote w:type="continuationSeparator" w:id="0">
    <w:p w14:paraId="6CBC9C90" w14:textId="77777777" w:rsidR="00D60051" w:rsidRDefault="00D60051"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37E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005F558D">
      <w:rPr>
        <w:b/>
        <w:noProof/>
        <w:sz w:val="36"/>
        <w:szCs w:val="36"/>
        <w:lang w:eastAsia="en-GB"/>
      </w:rPr>
      <w:t>Telephone Call Recording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EA6"/>
    <w:multiLevelType w:val="multilevel"/>
    <w:tmpl w:val="3D1E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518017">
    <w:abstractNumId w:val="2"/>
  </w:num>
  <w:num w:numId="2" w16cid:durableId="533275693">
    <w:abstractNumId w:val="1"/>
  </w:num>
  <w:num w:numId="3" w16cid:durableId="207357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155BB"/>
    <w:rsid w:val="00044C16"/>
    <w:rsid w:val="00045325"/>
    <w:rsid w:val="00071F17"/>
    <w:rsid w:val="000950FA"/>
    <w:rsid w:val="000A31F2"/>
    <w:rsid w:val="000B696B"/>
    <w:rsid w:val="000C71E2"/>
    <w:rsid w:val="000F53F3"/>
    <w:rsid w:val="00157933"/>
    <w:rsid w:val="001B314C"/>
    <w:rsid w:val="001D2A6E"/>
    <w:rsid w:val="001E0F75"/>
    <w:rsid w:val="001F1715"/>
    <w:rsid w:val="00202A8B"/>
    <w:rsid w:val="00230766"/>
    <w:rsid w:val="00255F4D"/>
    <w:rsid w:val="00286CCD"/>
    <w:rsid w:val="002A0658"/>
    <w:rsid w:val="002A1FE8"/>
    <w:rsid w:val="002C14D3"/>
    <w:rsid w:val="002C7B02"/>
    <w:rsid w:val="002D1BDC"/>
    <w:rsid w:val="002F59D9"/>
    <w:rsid w:val="003902E4"/>
    <w:rsid w:val="003C3D90"/>
    <w:rsid w:val="003E4C39"/>
    <w:rsid w:val="003F5FED"/>
    <w:rsid w:val="004266A0"/>
    <w:rsid w:val="00426EA7"/>
    <w:rsid w:val="004618B6"/>
    <w:rsid w:val="004952AA"/>
    <w:rsid w:val="004F7C91"/>
    <w:rsid w:val="00523EAE"/>
    <w:rsid w:val="00524B0F"/>
    <w:rsid w:val="00533782"/>
    <w:rsid w:val="00536A56"/>
    <w:rsid w:val="00542616"/>
    <w:rsid w:val="00556724"/>
    <w:rsid w:val="00573B1F"/>
    <w:rsid w:val="005820B0"/>
    <w:rsid w:val="00591683"/>
    <w:rsid w:val="005C68C0"/>
    <w:rsid w:val="005D0EB2"/>
    <w:rsid w:val="005F004B"/>
    <w:rsid w:val="005F558D"/>
    <w:rsid w:val="00635FE3"/>
    <w:rsid w:val="0068707D"/>
    <w:rsid w:val="006A035B"/>
    <w:rsid w:val="006A6874"/>
    <w:rsid w:val="006B3DC4"/>
    <w:rsid w:val="006B7DB3"/>
    <w:rsid w:val="006C60DC"/>
    <w:rsid w:val="006F7772"/>
    <w:rsid w:val="00703FCC"/>
    <w:rsid w:val="00762408"/>
    <w:rsid w:val="00776807"/>
    <w:rsid w:val="00784103"/>
    <w:rsid w:val="007D3121"/>
    <w:rsid w:val="007D3F2A"/>
    <w:rsid w:val="007E6854"/>
    <w:rsid w:val="00812359"/>
    <w:rsid w:val="00877BF1"/>
    <w:rsid w:val="0089679F"/>
    <w:rsid w:val="008B3F9E"/>
    <w:rsid w:val="008C2AD3"/>
    <w:rsid w:val="0094670B"/>
    <w:rsid w:val="0095127A"/>
    <w:rsid w:val="00971718"/>
    <w:rsid w:val="009974F0"/>
    <w:rsid w:val="00A27BFC"/>
    <w:rsid w:val="00A56E01"/>
    <w:rsid w:val="00A60A34"/>
    <w:rsid w:val="00A75CE2"/>
    <w:rsid w:val="00A913BE"/>
    <w:rsid w:val="00A931C0"/>
    <w:rsid w:val="00AB5F8C"/>
    <w:rsid w:val="00AE0D78"/>
    <w:rsid w:val="00AE487C"/>
    <w:rsid w:val="00B05D93"/>
    <w:rsid w:val="00B43F8C"/>
    <w:rsid w:val="00B7041D"/>
    <w:rsid w:val="00B76C95"/>
    <w:rsid w:val="00BB6FA9"/>
    <w:rsid w:val="00BD15C8"/>
    <w:rsid w:val="00BD29A5"/>
    <w:rsid w:val="00BD302C"/>
    <w:rsid w:val="00BF2465"/>
    <w:rsid w:val="00C216D7"/>
    <w:rsid w:val="00C371E3"/>
    <w:rsid w:val="00CA07AE"/>
    <w:rsid w:val="00CA7472"/>
    <w:rsid w:val="00CB1B71"/>
    <w:rsid w:val="00CB2F51"/>
    <w:rsid w:val="00CC4722"/>
    <w:rsid w:val="00CD2095"/>
    <w:rsid w:val="00CE1CDF"/>
    <w:rsid w:val="00CE2710"/>
    <w:rsid w:val="00CE6207"/>
    <w:rsid w:val="00CF55DF"/>
    <w:rsid w:val="00D160CA"/>
    <w:rsid w:val="00D44D59"/>
    <w:rsid w:val="00D60051"/>
    <w:rsid w:val="00D81134"/>
    <w:rsid w:val="00E161A0"/>
    <w:rsid w:val="00E501E4"/>
    <w:rsid w:val="00E90F8F"/>
    <w:rsid w:val="00ED630F"/>
    <w:rsid w:val="00F04D6C"/>
    <w:rsid w:val="00F07C61"/>
    <w:rsid w:val="00F1252D"/>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95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618296019">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Caroline.millio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5065</CharactersWithSpaces>
  <SharedDoc>false</SharedDoc>
  <HLinks>
    <vt:vector size="12" baseType="variant">
      <vt:variant>
        <vt:i4>720923</vt:i4>
      </vt:variant>
      <vt:variant>
        <vt:i4>3</vt:i4>
      </vt:variant>
      <vt:variant>
        <vt:i4>0</vt:i4>
      </vt:variant>
      <vt:variant>
        <vt:i4>5</vt:i4>
      </vt:variant>
      <vt:variant>
        <vt:lpwstr>https://ico.org.uk/global/contact-us/</vt:lpwstr>
      </vt:variant>
      <vt:variant>
        <vt:lpwstr/>
      </vt:variant>
      <vt:variant>
        <vt:i4>4325426</vt:i4>
      </vt:variant>
      <vt:variant>
        <vt:i4>0</vt:i4>
      </vt:variant>
      <vt:variant>
        <vt:i4>0</vt:i4>
      </vt:variant>
      <vt:variant>
        <vt:i4>5</vt:i4>
      </vt:variant>
      <vt:variant>
        <vt:lpwstr>mailto:Caroline.million@outlook.com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2025-10-28T12:57:00Z</dcterms:created>
  <dcterms:modified xsi:type="dcterms:W3CDTF">2025-10-28T12:57:00Z</dcterms:modified>
</cp:coreProperties>
</file>