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74D" w:rsidRDefault="0003407D" w:rsidP="0003407D">
      <w:pPr>
        <w:jc w:val="center"/>
        <w:rPr>
          <w:rFonts w:ascii="Arial" w:hAnsi="Arial" w:cs="Arial"/>
          <w:b/>
          <w:sz w:val="24"/>
          <w:szCs w:val="24"/>
        </w:rPr>
      </w:pPr>
      <w:r w:rsidRPr="0003407D">
        <w:rPr>
          <w:rFonts w:ascii="Arial" w:hAnsi="Arial" w:cs="Arial"/>
          <w:b/>
          <w:sz w:val="24"/>
          <w:szCs w:val="24"/>
        </w:rPr>
        <w:t>PETERSGATE MEDICAL CENTRE</w:t>
      </w:r>
    </w:p>
    <w:p w:rsidR="0003407D" w:rsidRDefault="0003407D" w:rsidP="0003407D">
      <w:pPr>
        <w:jc w:val="center"/>
        <w:rPr>
          <w:rFonts w:ascii="Arial" w:hAnsi="Arial" w:cs="Arial"/>
          <w:b/>
          <w:sz w:val="24"/>
          <w:szCs w:val="24"/>
        </w:rPr>
      </w:pPr>
      <w:r>
        <w:rPr>
          <w:rFonts w:ascii="Arial" w:hAnsi="Arial" w:cs="Arial"/>
          <w:b/>
          <w:sz w:val="24"/>
          <w:szCs w:val="24"/>
        </w:rPr>
        <w:t>Privacy Notice – GPs as Employers</w:t>
      </w:r>
    </w:p>
    <w:p w:rsidR="0003407D" w:rsidRPr="00C002BD" w:rsidRDefault="0003407D" w:rsidP="0003407D">
      <w:pPr>
        <w:jc w:val="both"/>
        <w:rPr>
          <w:rFonts w:ascii="Arial" w:hAnsi="Arial" w:cs="Arial"/>
          <w:sz w:val="20"/>
          <w:szCs w:val="20"/>
        </w:rPr>
      </w:pPr>
      <w:r w:rsidRPr="00C002BD">
        <w:rPr>
          <w:rFonts w:ascii="Arial" w:hAnsi="Arial" w:cs="Arial"/>
          <w:sz w:val="20"/>
          <w:szCs w:val="20"/>
        </w:rPr>
        <w:t xml:space="preserve">As employers we need to keep certain information so that we can remain your employer and manage payments. This is a combination of personal and financial information. We are required by law to hold certain types of data on those we employ under the Health and Social Care Act and this data is examined during CQC inspection visits. For more information about the CQC see: </w:t>
      </w:r>
      <w:hyperlink r:id="rId6" w:history="1">
        <w:r w:rsidRPr="00C002BD">
          <w:rPr>
            <w:rStyle w:val="Hyperlink"/>
            <w:rFonts w:ascii="Arial" w:hAnsi="Arial" w:cs="Arial"/>
            <w:sz w:val="20"/>
            <w:szCs w:val="20"/>
          </w:rPr>
          <w:t>http://www.cqc.org.uk/</w:t>
        </w:r>
      </w:hyperlink>
    </w:p>
    <w:p w:rsidR="0003407D" w:rsidRPr="00C002BD" w:rsidRDefault="0003407D" w:rsidP="0003407D">
      <w:pPr>
        <w:jc w:val="both"/>
        <w:rPr>
          <w:rFonts w:ascii="Arial" w:hAnsi="Arial" w:cs="Arial"/>
          <w:sz w:val="20"/>
          <w:szCs w:val="20"/>
        </w:rPr>
      </w:pPr>
      <w:r w:rsidRPr="00C002BD">
        <w:rPr>
          <w:rFonts w:ascii="Arial" w:hAnsi="Arial" w:cs="Arial"/>
          <w:sz w:val="20"/>
          <w:szCs w:val="20"/>
        </w:rPr>
        <w:t xml:space="preserve">We are also required by HMRC and various taxation laws, such as “The Income Tax (Pay </w:t>
      </w:r>
      <w:proofErr w:type="gramStart"/>
      <w:r w:rsidRPr="00C002BD">
        <w:rPr>
          <w:rFonts w:ascii="Arial" w:hAnsi="Arial" w:cs="Arial"/>
          <w:sz w:val="20"/>
          <w:szCs w:val="20"/>
        </w:rPr>
        <w:t>As</w:t>
      </w:r>
      <w:proofErr w:type="gramEnd"/>
      <w:r w:rsidRPr="00C002BD">
        <w:rPr>
          <w:rFonts w:ascii="Arial" w:hAnsi="Arial" w:cs="Arial"/>
          <w:sz w:val="20"/>
          <w:szCs w:val="20"/>
        </w:rPr>
        <w:t xml:space="preserve"> You Earn) Regulations 2003” to keep financial records. </w:t>
      </w:r>
    </w:p>
    <w:tbl>
      <w:tblPr>
        <w:tblStyle w:val="TableGrid"/>
        <w:tblW w:w="0" w:type="auto"/>
        <w:tblLook w:val="04A0" w:firstRow="1" w:lastRow="0" w:firstColumn="1" w:lastColumn="0" w:noHBand="0" w:noVBand="1"/>
      </w:tblPr>
      <w:tblGrid>
        <w:gridCol w:w="2802"/>
        <w:gridCol w:w="6440"/>
      </w:tblGrid>
      <w:tr w:rsidR="00C002BD" w:rsidRPr="00C002BD" w:rsidTr="00C002BD">
        <w:tc>
          <w:tcPr>
            <w:tcW w:w="2802" w:type="dxa"/>
          </w:tcPr>
          <w:p w:rsidR="00C002BD" w:rsidRPr="00C002BD" w:rsidRDefault="00C002BD" w:rsidP="00C002BD">
            <w:pPr>
              <w:rPr>
                <w:rFonts w:ascii="Arial" w:hAnsi="Arial" w:cs="Arial"/>
                <w:b/>
                <w:color w:val="000000"/>
                <w:lang w:eastAsia="en-GB"/>
              </w:rPr>
            </w:pPr>
            <w:r w:rsidRPr="00C002BD">
              <w:rPr>
                <w:rFonts w:ascii="Arial" w:hAnsi="Arial" w:cs="Arial"/>
                <w:b/>
                <w:color w:val="000000"/>
                <w:lang w:eastAsia="en-GB"/>
              </w:rPr>
              <w:t xml:space="preserve">Data Controller </w:t>
            </w:r>
          </w:p>
          <w:p w:rsidR="00C002BD" w:rsidRPr="00C002BD" w:rsidRDefault="00C002BD" w:rsidP="00C002BD">
            <w:pPr>
              <w:rPr>
                <w:rFonts w:ascii="Arial" w:hAnsi="Arial" w:cs="Arial"/>
                <w:b/>
                <w:color w:val="000000"/>
                <w:lang w:eastAsia="en-GB"/>
              </w:rPr>
            </w:pPr>
            <w:r w:rsidRPr="00C002BD">
              <w:rPr>
                <w:rFonts w:ascii="Arial" w:hAnsi="Arial" w:cs="Arial"/>
                <w:color w:val="000000"/>
                <w:lang w:eastAsia="en-GB"/>
              </w:rPr>
              <w:t>contact details</w:t>
            </w:r>
          </w:p>
          <w:p w:rsidR="00C002BD" w:rsidRPr="00C002BD" w:rsidRDefault="00C002BD" w:rsidP="00F401D4">
            <w:pPr>
              <w:rPr>
                <w:rFonts w:ascii="Arial" w:hAnsi="Arial" w:cs="Arial"/>
                <w:color w:val="000000"/>
                <w:lang w:eastAsia="en-GB"/>
              </w:rPr>
            </w:pPr>
          </w:p>
        </w:tc>
        <w:tc>
          <w:tcPr>
            <w:tcW w:w="6440" w:type="dxa"/>
          </w:tcPr>
          <w:p w:rsidR="00C002BD" w:rsidRPr="00C002BD" w:rsidRDefault="00C002BD" w:rsidP="0003407D">
            <w:pPr>
              <w:jc w:val="both"/>
              <w:rPr>
                <w:rFonts w:ascii="Arial" w:hAnsi="Arial" w:cs="Arial"/>
              </w:rPr>
            </w:pPr>
            <w:r w:rsidRPr="00C002BD">
              <w:rPr>
                <w:rFonts w:ascii="Arial" w:hAnsi="Arial" w:cs="Arial"/>
              </w:rPr>
              <w:t xml:space="preserve">Dr E </w:t>
            </w:r>
            <w:proofErr w:type="spellStart"/>
            <w:r w:rsidRPr="00C002BD">
              <w:rPr>
                <w:rFonts w:ascii="Arial" w:hAnsi="Arial" w:cs="Arial"/>
              </w:rPr>
              <w:t>Pamphilon</w:t>
            </w:r>
            <w:proofErr w:type="spellEnd"/>
            <w:r w:rsidRPr="00C002BD">
              <w:rPr>
                <w:rFonts w:ascii="Arial" w:hAnsi="Arial" w:cs="Arial"/>
              </w:rPr>
              <w:t xml:space="preserve">, 99 </w:t>
            </w:r>
            <w:proofErr w:type="spellStart"/>
            <w:r w:rsidRPr="00C002BD">
              <w:rPr>
                <w:rFonts w:ascii="Arial" w:hAnsi="Arial" w:cs="Arial"/>
              </w:rPr>
              <w:t>Amersall</w:t>
            </w:r>
            <w:proofErr w:type="spellEnd"/>
            <w:r w:rsidRPr="00C002BD">
              <w:rPr>
                <w:rFonts w:ascii="Arial" w:hAnsi="Arial" w:cs="Arial"/>
              </w:rPr>
              <w:t xml:space="preserve"> Road, Doncaster, DN5 9PQ</w:t>
            </w:r>
          </w:p>
          <w:p w:rsidR="00C002BD" w:rsidRPr="00C002BD" w:rsidRDefault="00800D79" w:rsidP="0003407D">
            <w:pPr>
              <w:jc w:val="both"/>
              <w:rPr>
                <w:rFonts w:ascii="Arial" w:hAnsi="Arial" w:cs="Arial"/>
              </w:rPr>
            </w:pPr>
            <w:r>
              <w:rPr>
                <w:rFonts w:ascii="Arial" w:hAnsi="Arial" w:cs="Arial"/>
              </w:rPr>
              <w:t>Tel: 01</w:t>
            </w:r>
            <w:r w:rsidR="00C002BD" w:rsidRPr="00C002BD">
              <w:rPr>
                <w:rFonts w:ascii="Arial" w:hAnsi="Arial" w:cs="Arial"/>
              </w:rPr>
              <w:t>302 390490</w:t>
            </w:r>
          </w:p>
        </w:tc>
      </w:tr>
      <w:tr w:rsidR="00C002BD" w:rsidRPr="00C002BD" w:rsidTr="00C002BD">
        <w:tc>
          <w:tcPr>
            <w:tcW w:w="2802" w:type="dxa"/>
          </w:tcPr>
          <w:p w:rsidR="00C002BD" w:rsidRPr="00C002BD" w:rsidRDefault="00C002BD" w:rsidP="0003407D">
            <w:pPr>
              <w:jc w:val="both"/>
              <w:rPr>
                <w:rFonts w:ascii="Arial" w:hAnsi="Arial" w:cs="Arial"/>
                <w:b/>
              </w:rPr>
            </w:pPr>
            <w:r w:rsidRPr="00C002BD">
              <w:rPr>
                <w:rFonts w:ascii="Arial" w:hAnsi="Arial" w:cs="Arial"/>
                <w:b/>
              </w:rPr>
              <w:t>Data Protection Officer</w:t>
            </w:r>
          </w:p>
          <w:p w:rsidR="00C002BD" w:rsidRPr="00C002BD" w:rsidRDefault="00C002BD" w:rsidP="0003407D">
            <w:pPr>
              <w:jc w:val="both"/>
              <w:rPr>
                <w:rFonts w:ascii="Arial" w:hAnsi="Arial" w:cs="Arial"/>
              </w:rPr>
            </w:pPr>
            <w:r w:rsidRPr="00C002BD">
              <w:rPr>
                <w:rFonts w:ascii="Arial" w:hAnsi="Arial" w:cs="Arial"/>
              </w:rPr>
              <w:t>Contact details</w:t>
            </w:r>
          </w:p>
          <w:p w:rsidR="00C002BD" w:rsidRPr="00C002BD" w:rsidRDefault="00C002BD" w:rsidP="0003407D">
            <w:pPr>
              <w:jc w:val="both"/>
              <w:rPr>
                <w:rFonts w:ascii="Arial" w:hAnsi="Arial" w:cs="Arial"/>
                <w:b/>
              </w:rPr>
            </w:pPr>
          </w:p>
        </w:tc>
        <w:tc>
          <w:tcPr>
            <w:tcW w:w="6440" w:type="dxa"/>
          </w:tcPr>
          <w:p w:rsidR="00912F64" w:rsidRDefault="00912F64" w:rsidP="00912F64">
            <w:pPr>
              <w:jc w:val="both"/>
              <w:rPr>
                <w:rFonts w:ascii="Arial" w:hAnsi="Arial" w:cs="Arial"/>
                <w:sz w:val="20"/>
                <w:szCs w:val="20"/>
              </w:rPr>
            </w:pPr>
            <w:r>
              <w:rPr>
                <w:rFonts w:ascii="Arial" w:hAnsi="Arial" w:cs="Arial"/>
                <w:sz w:val="20"/>
                <w:szCs w:val="20"/>
              </w:rPr>
              <w:t>The Practice Data Protection Officer (DPO) is Caroline Million, Independent Data Protection Officer.</w:t>
            </w:r>
          </w:p>
          <w:p w:rsidR="00912F64" w:rsidRDefault="00912F64" w:rsidP="00912F64">
            <w:pPr>
              <w:jc w:val="both"/>
              <w:rPr>
                <w:rFonts w:ascii="Arial" w:hAnsi="Arial" w:cs="Arial"/>
                <w:sz w:val="20"/>
                <w:szCs w:val="20"/>
              </w:rPr>
            </w:pPr>
            <w:r>
              <w:rPr>
                <w:rFonts w:ascii="Arial" w:hAnsi="Arial" w:cs="Arial"/>
                <w:sz w:val="20"/>
                <w:szCs w:val="20"/>
              </w:rPr>
              <w:t xml:space="preserve">Caroline Million,  </w:t>
            </w:r>
            <w:hyperlink r:id="rId7" w:history="1">
              <w:r>
                <w:rPr>
                  <w:rStyle w:val="Hyperlink"/>
                  <w:rFonts w:ascii="Arial" w:hAnsi="Arial" w:cs="Arial"/>
                  <w:sz w:val="20"/>
                  <w:szCs w:val="20"/>
                </w:rPr>
                <w:t>Caroline.million@outlook.com</w:t>
              </w:r>
            </w:hyperlink>
            <w:r>
              <w:rPr>
                <w:rFonts w:ascii="Arial" w:hAnsi="Arial" w:cs="Arial"/>
                <w:sz w:val="20"/>
                <w:szCs w:val="20"/>
              </w:rPr>
              <w:t xml:space="preserve">   </w:t>
            </w:r>
          </w:p>
          <w:p w:rsidR="00C002BD" w:rsidRPr="00C002BD" w:rsidRDefault="00912F64" w:rsidP="00912F64">
            <w:pPr>
              <w:jc w:val="both"/>
              <w:rPr>
                <w:rFonts w:ascii="Arial" w:hAnsi="Arial" w:cs="Arial"/>
              </w:rPr>
            </w:pPr>
            <w:r>
              <w:rPr>
                <w:rFonts w:ascii="Arial" w:hAnsi="Arial" w:cs="Arial"/>
                <w:sz w:val="20"/>
                <w:szCs w:val="20"/>
              </w:rPr>
              <w:t>07912 975522</w:t>
            </w:r>
          </w:p>
        </w:tc>
      </w:tr>
      <w:tr w:rsidR="00C002BD" w:rsidRPr="00C002BD" w:rsidTr="00C002BD">
        <w:tc>
          <w:tcPr>
            <w:tcW w:w="2802" w:type="dxa"/>
          </w:tcPr>
          <w:p w:rsidR="00C002BD" w:rsidRPr="00C002BD" w:rsidRDefault="00C002BD" w:rsidP="0003407D">
            <w:pPr>
              <w:jc w:val="both"/>
              <w:rPr>
                <w:rFonts w:ascii="Arial" w:hAnsi="Arial" w:cs="Arial"/>
              </w:rPr>
            </w:pPr>
            <w:r w:rsidRPr="00C002BD">
              <w:rPr>
                <w:rFonts w:ascii="Arial" w:hAnsi="Arial" w:cs="Arial"/>
                <w:b/>
              </w:rPr>
              <w:t>Purpose</w:t>
            </w:r>
            <w:r w:rsidRPr="00C002BD">
              <w:rPr>
                <w:rFonts w:ascii="Arial" w:hAnsi="Arial" w:cs="Arial"/>
              </w:rPr>
              <w:t xml:space="preserve"> of the Processing</w:t>
            </w:r>
          </w:p>
          <w:p w:rsidR="00C002BD" w:rsidRPr="00C002BD" w:rsidRDefault="00C002BD" w:rsidP="0003407D">
            <w:pPr>
              <w:jc w:val="both"/>
              <w:rPr>
                <w:rFonts w:ascii="Arial" w:hAnsi="Arial" w:cs="Arial"/>
                <w:b/>
              </w:rPr>
            </w:pPr>
          </w:p>
        </w:tc>
        <w:tc>
          <w:tcPr>
            <w:tcW w:w="6440" w:type="dxa"/>
          </w:tcPr>
          <w:p w:rsidR="00C002BD" w:rsidRPr="00C002BD" w:rsidRDefault="00C002BD" w:rsidP="0003407D">
            <w:pPr>
              <w:jc w:val="both"/>
              <w:rPr>
                <w:rFonts w:ascii="Arial" w:hAnsi="Arial" w:cs="Arial"/>
              </w:rPr>
            </w:pPr>
            <w:r w:rsidRPr="00C002BD">
              <w:rPr>
                <w:rFonts w:ascii="Arial" w:hAnsi="Arial" w:cs="Arial"/>
              </w:rPr>
              <w:t>To comply with the Health &amp; Social Care Act and taxation law.</w:t>
            </w:r>
          </w:p>
        </w:tc>
      </w:tr>
      <w:tr w:rsidR="00C002BD" w:rsidRPr="00C002BD" w:rsidTr="00C002BD">
        <w:tc>
          <w:tcPr>
            <w:tcW w:w="2802" w:type="dxa"/>
          </w:tcPr>
          <w:p w:rsidR="00C002BD" w:rsidRPr="00C002BD" w:rsidRDefault="00C002BD" w:rsidP="0003407D">
            <w:pPr>
              <w:jc w:val="both"/>
              <w:rPr>
                <w:rFonts w:ascii="Arial" w:hAnsi="Arial" w:cs="Arial"/>
              </w:rPr>
            </w:pPr>
            <w:r w:rsidRPr="00C002BD">
              <w:rPr>
                <w:rFonts w:ascii="Arial" w:hAnsi="Arial" w:cs="Arial"/>
                <w:b/>
              </w:rPr>
              <w:t>Lawful</w:t>
            </w:r>
            <w:r w:rsidRPr="00C002BD">
              <w:rPr>
                <w:rFonts w:ascii="Arial" w:hAnsi="Arial" w:cs="Arial"/>
              </w:rPr>
              <w:t xml:space="preserve"> </w:t>
            </w:r>
            <w:r w:rsidRPr="00C002BD">
              <w:rPr>
                <w:rFonts w:ascii="Arial" w:hAnsi="Arial" w:cs="Arial"/>
                <w:b/>
              </w:rPr>
              <w:t>basis</w:t>
            </w:r>
            <w:r w:rsidRPr="00C002BD">
              <w:rPr>
                <w:rFonts w:ascii="Arial" w:hAnsi="Arial" w:cs="Arial"/>
              </w:rPr>
              <w:t xml:space="preserve"> for processing</w:t>
            </w:r>
          </w:p>
          <w:p w:rsidR="00C002BD" w:rsidRPr="00C002BD" w:rsidRDefault="00C002BD" w:rsidP="0003407D">
            <w:pPr>
              <w:jc w:val="both"/>
              <w:rPr>
                <w:rFonts w:ascii="Arial" w:hAnsi="Arial" w:cs="Arial"/>
                <w:b/>
              </w:rPr>
            </w:pPr>
          </w:p>
          <w:p w:rsidR="00C002BD" w:rsidRPr="00C002BD" w:rsidRDefault="00C002BD" w:rsidP="0003407D">
            <w:pPr>
              <w:jc w:val="both"/>
              <w:rPr>
                <w:rFonts w:ascii="Arial" w:hAnsi="Arial" w:cs="Arial"/>
                <w:b/>
              </w:rPr>
            </w:pPr>
          </w:p>
        </w:tc>
        <w:tc>
          <w:tcPr>
            <w:tcW w:w="6440" w:type="dxa"/>
          </w:tcPr>
          <w:p w:rsidR="00C002BD" w:rsidRPr="00C002BD" w:rsidRDefault="00C002BD" w:rsidP="00C002BD">
            <w:pPr>
              <w:rPr>
                <w:rFonts w:ascii="Arial" w:hAnsi="Arial" w:cs="Arial"/>
                <w:color w:val="000000"/>
                <w:sz w:val="20"/>
                <w:szCs w:val="20"/>
                <w:lang w:eastAsia="en-GB"/>
              </w:rPr>
            </w:pPr>
            <w:r w:rsidRPr="00C002BD">
              <w:rPr>
                <w:rFonts w:ascii="Arial" w:hAnsi="Arial" w:cs="Arial"/>
                <w:color w:val="000000"/>
                <w:sz w:val="20"/>
                <w:szCs w:val="20"/>
                <w:lang w:eastAsia="en-GB"/>
              </w:rPr>
              <w:t xml:space="preserve">The legal basis will be </w:t>
            </w:r>
          </w:p>
          <w:p w:rsidR="00C002BD" w:rsidRPr="00C002BD" w:rsidRDefault="00C002BD" w:rsidP="00C002BD">
            <w:pPr>
              <w:ind w:left="720"/>
              <w:rPr>
                <w:rFonts w:ascii="Arial" w:hAnsi="Arial" w:cs="Arial"/>
                <w:sz w:val="20"/>
                <w:szCs w:val="20"/>
              </w:rPr>
            </w:pPr>
            <w:r w:rsidRPr="00C002BD">
              <w:rPr>
                <w:rFonts w:ascii="Arial" w:hAnsi="Arial" w:cs="Arial"/>
                <w:i/>
                <w:color w:val="000000"/>
                <w:sz w:val="20"/>
                <w:szCs w:val="20"/>
                <w:lang w:eastAsia="en-GB"/>
              </w:rPr>
              <w:t>Article 6(1</w:t>
            </w:r>
            <w:proofErr w:type="gramStart"/>
            <w:r w:rsidRPr="00C002BD">
              <w:rPr>
                <w:rFonts w:ascii="Arial" w:hAnsi="Arial" w:cs="Arial"/>
                <w:i/>
                <w:color w:val="000000"/>
                <w:sz w:val="20"/>
                <w:szCs w:val="20"/>
                <w:lang w:eastAsia="en-GB"/>
              </w:rPr>
              <w:t>)(</w:t>
            </w:r>
            <w:proofErr w:type="gramEnd"/>
            <w:r w:rsidRPr="00C002BD">
              <w:rPr>
                <w:rFonts w:ascii="Arial" w:hAnsi="Arial" w:cs="Arial"/>
                <w:i/>
                <w:color w:val="000000"/>
                <w:sz w:val="20"/>
                <w:szCs w:val="20"/>
                <w:lang w:eastAsia="en-GB"/>
              </w:rPr>
              <w:t>c) “</w:t>
            </w:r>
            <w:r w:rsidRPr="00C002BD">
              <w:rPr>
                <w:rFonts w:ascii="Arial" w:hAnsi="Arial" w:cs="Arial"/>
                <w:i/>
                <w:sz w:val="20"/>
                <w:szCs w:val="20"/>
              </w:rPr>
              <w:t>processing is necessary for compliance with a legal obligation to which the controller is subject.”</w:t>
            </w:r>
            <w:r w:rsidRPr="00C002BD">
              <w:rPr>
                <w:rFonts w:ascii="Arial" w:hAnsi="Arial" w:cs="Arial"/>
                <w:sz w:val="20"/>
                <w:szCs w:val="20"/>
              </w:rPr>
              <w:t xml:space="preserve"> </w:t>
            </w:r>
          </w:p>
          <w:p w:rsidR="00C002BD" w:rsidRPr="00C002BD" w:rsidRDefault="00C002BD" w:rsidP="00C002BD">
            <w:pPr>
              <w:rPr>
                <w:rFonts w:ascii="Arial" w:hAnsi="Arial" w:cs="Arial"/>
                <w:color w:val="000000"/>
                <w:sz w:val="20"/>
                <w:szCs w:val="20"/>
                <w:lang w:eastAsia="en-GB"/>
              </w:rPr>
            </w:pPr>
            <w:r w:rsidRPr="00C002BD">
              <w:rPr>
                <w:rFonts w:ascii="Arial" w:hAnsi="Arial" w:cs="Arial"/>
                <w:color w:val="000000"/>
                <w:sz w:val="20"/>
                <w:szCs w:val="20"/>
                <w:lang w:eastAsia="en-GB"/>
              </w:rPr>
              <w:t xml:space="preserve">And </w:t>
            </w:r>
          </w:p>
          <w:p w:rsidR="00C002BD" w:rsidRPr="00C002BD" w:rsidRDefault="00C002BD" w:rsidP="00C002BD">
            <w:pPr>
              <w:jc w:val="both"/>
              <w:rPr>
                <w:rFonts w:ascii="Arial" w:hAnsi="Arial" w:cs="Arial"/>
                <w:b/>
              </w:rPr>
            </w:pPr>
            <w:r w:rsidRPr="00C002BD">
              <w:rPr>
                <w:rFonts w:ascii="Arial" w:hAnsi="Arial" w:cs="Arial"/>
                <w:i/>
                <w:color w:val="000000"/>
                <w:sz w:val="20"/>
                <w:szCs w:val="20"/>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C002BD" w:rsidRPr="00C002BD" w:rsidTr="00C002BD">
        <w:tc>
          <w:tcPr>
            <w:tcW w:w="2802" w:type="dxa"/>
          </w:tcPr>
          <w:p w:rsidR="00C002BD" w:rsidRPr="00C002BD" w:rsidRDefault="00C002BD" w:rsidP="0003407D">
            <w:pPr>
              <w:jc w:val="both"/>
              <w:rPr>
                <w:rFonts w:ascii="Arial" w:hAnsi="Arial" w:cs="Arial"/>
              </w:rPr>
            </w:pPr>
            <w:r w:rsidRPr="00C002BD">
              <w:rPr>
                <w:rFonts w:ascii="Arial" w:hAnsi="Arial" w:cs="Arial"/>
                <w:b/>
              </w:rPr>
              <w:t xml:space="preserve">Recipient or categories of recipients </w:t>
            </w:r>
            <w:r w:rsidRPr="00C002BD">
              <w:rPr>
                <w:rFonts w:ascii="Arial" w:hAnsi="Arial" w:cs="Arial"/>
              </w:rPr>
              <w:t>of the shared data</w:t>
            </w:r>
          </w:p>
          <w:p w:rsidR="00C002BD" w:rsidRPr="00C002BD" w:rsidRDefault="00C002BD" w:rsidP="0003407D">
            <w:pPr>
              <w:jc w:val="both"/>
              <w:rPr>
                <w:rFonts w:ascii="Arial" w:hAnsi="Arial" w:cs="Arial"/>
                <w:b/>
              </w:rPr>
            </w:pPr>
          </w:p>
        </w:tc>
        <w:tc>
          <w:tcPr>
            <w:tcW w:w="6440" w:type="dxa"/>
          </w:tcPr>
          <w:p w:rsidR="00C002BD" w:rsidRPr="00C002BD" w:rsidRDefault="00C002BD" w:rsidP="0003407D">
            <w:pPr>
              <w:jc w:val="both"/>
              <w:rPr>
                <w:rFonts w:ascii="Arial" w:hAnsi="Arial" w:cs="Arial"/>
                <w:b/>
              </w:rPr>
            </w:pPr>
            <w:r w:rsidRPr="00C002BD">
              <w:rPr>
                <w:rFonts w:ascii="Arial" w:hAnsi="Arial" w:cs="Arial"/>
                <w:color w:val="000000"/>
                <w:lang w:eastAsia="en-GB"/>
              </w:rPr>
              <w:t>The data will be shared with the Care Quality Commission, its officers and staff and members of the inspection teams that visit us from time to time. Financial data will also be shared with HMRC.</w:t>
            </w:r>
          </w:p>
        </w:tc>
      </w:tr>
      <w:tr w:rsidR="00C002BD" w:rsidRPr="00C002BD" w:rsidTr="00C002BD">
        <w:tc>
          <w:tcPr>
            <w:tcW w:w="2802" w:type="dxa"/>
          </w:tcPr>
          <w:p w:rsidR="00C002BD" w:rsidRPr="00C002BD" w:rsidRDefault="00C002BD" w:rsidP="00F401D4">
            <w:pPr>
              <w:rPr>
                <w:rFonts w:ascii="Arial" w:hAnsi="Arial" w:cs="Arial"/>
                <w:color w:val="000000"/>
                <w:lang w:eastAsia="en-GB"/>
              </w:rPr>
            </w:pPr>
            <w:r w:rsidRPr="00C002BD">
              <w:rPr>
                <w:rFonts w:ascii="Arial" w:hAnsi="Arial" w:cs="Arial"/>
                <w:b/>
                <w:color w:val="000000"/>
                <w:lang w:eastAsia="en-GB"/>
              </w:rPr>
              <w:t>Rights to object</w:t>
            </w:r>
            <w:r w:rsidRPr="00C002BD">
              <w:rPr>
                <w:rFonts w:ascii="Arial" w:hAnsi="Arial" w:cs="Arial"/>
                <w:color w:val="000000"/>
                <w:lang w:eastAsia="en-GB"/>
              </w:rPr>
              <w:t xml:space="preserve"> </w:t>
            </w:r>
          </w:p>
        </w:tc>
        <w:tc>
          <w:tcPr>
            <w:tcW w:w="6440" w:type="dxa"/>
          </w:tcPr>
          <w:p w:rsidR="00C002BD" w:rsidRPr="00C002BD" w:rsidRDefault="00C002BD" w:rsidP="00F401D4">
            <w:pPr>
              <w:rPr>
                <w:rFonts w:ascii="Arial" w:hAnsi="Arial" w:cs="Arial"/>
                <w:color w:val="000000"/>
                <w:lang w:eastAsia="en-GB"/>
              </w:rPr>
            </w:pPr>
            <w:r w:rsidRPr="00C002BD">
              <w:rPr>
                <w:rFonts w:ascii="Arial" w:hAnsi="Arial" w:cs="Arial"/>
                <w:color w:val="000000"/>
                <w:lang w:eastAsia="en-GB"/>
              </w:rPr>
              <w:t>You have the right to object to some or all of the information being shared with CQC. Contact the Data Controller or the practice. There is no right to have UK taxation related data deleted except after certain statutory periods.</w:t>
            </w:r>
          </w:p>
        </w:tc>
      </w:tr>
      <w:tr w:rsidR="00C002BD" w:rsidRPr="00C002BD" w:rsidTr="00C002BD">
        <w:tc>
          <w:tcPr>
            <w:tcW w:w="2802" w:type="dxa"/>
          </w:tcPr>
          <w:p w:rsidR="00C002BD" w:rsidRPr="00C002BD" w:rsidRDefault="00C002BD" w:rsidP="00F401D4">
            <w:pPr>
              <w:rPr>
                <w:rFonts w:ascii="Arial" w:hAnsi="Arial" w:cs="Arial"/>
                <w:color w:val="000000"/>
                <w:lang w:eastAsia="en-GB"/>
              </w:rPr>
            </w:pPr>
            <w:r w:rsidRPr="00C002BD">
              <w:rPr>
                <w:rFonts w:ascii="Arial" w:hAnsi="Arial" w:cs="Arial"/>
                <w:b/>
                <w:color w:val="000000"/>
                <w:lang w:eastAsia="en-GB"/>
              </w:rPr>
              <w:t>Right to access and correct</w:t>
            </w:r>
          </w:p>
        </w:tc>
        <w:tc>
          <w:tcPr>
            <w:tcW w:w="6440" w:type="dxa"/>
          </w:tcPr>
          <w:p w:rsidR="00C002BD" w:rsidRPr="00C002BD" w:rsidRDefault="00C002BD" w:rsidP="00F401D4">
            <w:pPr>
              <w:rPr>
                <w:rFonts w:ascii="Arial" w:hAnsi="Arial" w:cs="Arial"/>
                <w:color w:val="000000"/>
                <w:lang w:eastAsia="en-GB"/>
              </w:rPr>
            </w:pPr>
            <w:r w:rsidRPr="00C002BD">
              <w:rPr>
                <w:rFonts w:ascii="Arial" w:hAnsi="Arial" w:cs="Arial"/>
                <w:color w:val="000000"/>
                <w:lang w:eastAsia="en-GB"/>
              </w:rPr>
              <w:t>You have the right to access the data that is being shared and have any inaccuracies corrected. There is no right to have records deleted except when ordered by a court of Law.</w:t>
            </w:r>
          </w:p>
        </w:tc>
      </w:tr>
      <w:tr w:rsidR="00C002BD" w:rsidRPr="00C002BD" w:rsidTr="00C002BD">
        <w:tc>
          <w:tcPr>
            <w:tcW w:w="2802" w:type="dxa"/>
          </w:tcPr>
          <w:p w:rsidR="00C002BD" w:rsidRPr="00C002BD" w:rsidRDefault="00C002BD" w:rsidP="00F401D4">
            <w:pPr>
              <w:rPr>
                <w:rFonts w:ascii="Arial" w:hAnsi="Arial" w:cs="Arial"/>
                <w:color w:val="000000"/>
                <w:lang w:eastAsia="en-GB"/>
              </w:rPr>
            </w:pPr>
            <w:r w:rsidRPr="00C002BD">
              <w:rPr>
                <w:rFonts w:ascii="Arial" w:hAnsi="Arial" w:cs="Arial"/>
                <w:b/>
                <w:color w:val="000000"/>
                <w:lang w:eastAsia="en-GB"/>
              </w:rPr>
              <w:t>Retention period</w:t>
            </w:r>
            <w:r w:rsidRPr="00C002BD">
              <w:rPr>
                <w:rFonts w:ascii="Arial" w:hAnsi="Arial" w:cs="Arial"/>
                <w:color w:val="000000"/>
                <w:lang w:eastAsia="en-GB"/>
              </w:rPr>
              <w:t xml:space="preserve"> </w:t>
            </w:r>
          </w:p>
        </w:tc>
        <w:tc>
          <w:tcPr>
            <w:tcW w:w="6440" w:type="dxa"/>
          </w:tcPr>
          <w:p w:rsidR="00C002BD" w:rsidRPr="00C002BD" w:rsidRDefault="00C002BD" w:rsidP="00F401D4">
            <w:pPr>
              <w:rPr>
                <w:rFonts w:ascii="Arial" w:hAnsi="Arial" w:cs="Arial"/>
                <w:color w:val="000000"/>
                <w:lang w:eastAsia="en-GB"/>
              </w:rPr>
            </w:pPr>
            <w:r w:rsidRPr="00C002BD">
              <w:rPr>
                <w:rFonts w:ascii="Arial" w:hAnsi="Arial" w:cs="Arial"/>
                <w:color w:val="000000"/>
                <w:lang w:eastAsia="en-GB"/>
              </w:rPr>
              <w:t>The data will be retained for active use during the processing and thereafter according to NHS Policies, taxation and employment law.</w:t>
            </w:r>
          </w:p>
        </w:tc>
      </w:tr>
      <w:tr w:rsidR="00C002BD" w:rsidRPr="00C002BD" w:rsidTr="00C002BD">
        <w:tc>
          <w:tcPr>
            <w:tcW w:w="2802" w:type="dxa"/>
          </w:tcPr>
          <w:p w:rsidR="00C002BD" w:rsidRPr="00C002BD" w:rsidRDefault="00C002BD" w:rsidP="00F401D4">
            <w:pPr>
              <w:rPr>
                <w:rFonts w:ascii="Arial" w:hAnsi="Arial" w:cs="Arial"/>
                <w:color w:val="000000"/>
                <w:lang w:eastAsia="en-GB"/>
              </w:rPr>
            </w:pPr>
            <w:r w:rsidRPr="00C002BD">
              <w:rPr>
                <w:rFonts w:ascii="Arial" w:hAnsi="Arial" w:cs="Arial"/>
                <w:b/>
                <w:color w:val="000000"/>
                <w:lang w:eastAsia="en-GB"/>
              </w:rPr>
              <w:t>Right to Complain</w:t>
            </w:r>
            <w:r w:rsidRPr="00C002BD">
              <w:rPr>
                <w:rFonts w:ascii="Arial" w:hAnsi="Arial" w:cs="Arial"/>
                <w:color w:val="000000"/>
                <w:lang w:eastAsia="en-GB"/>
              </w:rPr>
              <w:t xml:space="preserve">. </w:t>
            </w:r>
          </w:p>
        </w:tc>
        <w:tc>
          <w:tcPr>
            <w:tcW w:w="6440" w:type="dxa"/>
          </w:tcPr>
          <w:p w:rsidR="00C002BD" w:rsidRPr="00C002BD" w:rsidRDefault="00C002BD" w:rsidP="00F401D4">
            <w:pPr>
              <w:rPr>
                <w:rFonts w:ascii="Arial" w:hAnsi="Arial" w:cs="Arial"/>
                <w:color w:val="000000"/>
                <w:sz w:val="20"/>
                <w:szCs w:val="20"/>
                <w:lang w:eastAsia="en-GB"/>
              </w:rPr>
            </w:pPr>
            <w:r w:rsidRPr="00C002BD">
              <w:rPr>
                <w:rFonts w:ascii="Arial" w:hAnsi="Arial" w:cs="Arial"/>
                <w:color w:val="000000"/>
                <w:lang w:eastAsia="en-GB"/>
              </w:rPr>
              <w:t>You have the right to complain to the Information Commissioner’s Office, you can use this link</w:t>
            </w:r>
            <w:r w:rsidRPr="00C002BD">
              <w:rPr>
                <w:rFonts w:ascii="Arial" w:hAnsi="Arial" w:cs="Arial"/>
              </w:rPr>
              <w:t xml:space="preserve"> </w:t>
            </w:r>
            <w:hyperlink r:id="rId8" w:history="1">
              <w:r w:rsidRPr="00C002BD">
                <w:rPr>
                  <w:rStyle w:val="Hyperlink"/>
                  <w:rFonts w:ascii="Arial" w:hAnsi="Arial" w:cs="Arial"/>
                  <w:sz w:val="20"/>
                  <w:szCs w:val="20"/>
                  <w:lang w:eastAsia="en-GB"/>
                </w:rPr>
                <w:t>https://ico.org.uk/global/contact-us/</w:t>
              </w:r>
            </w:hyperlink>
            <w:r w:rsidRPr="00C002BD">
              <w:rPr>
                <w:rFonts w:ascii="Arial" w:hAnsi="Arial" w:cs="Arial"/>
                <w:color w:val="000000"/>
                <w:sz w:val="20"/>
                <w:szCs w:val="20"/>
                <w:lang w:eastAsia="en-GB"/>
              </w:rPr>
              <w:t xml:space="preserve">  </w:t>
            </w:r>
          </w:p>
          <w:p w:rsidR="00C002BD" w:rsidRPr="00C002BD" w:rsidRDefault="00C002BD" w:rsidP="00F401D4">
            <w:pPr>
              <w:shd w:val="clear" w:color="auto" w:fill="FFFFFF"/>
              <w:spacing w:after="240"/>
              <w:rPr>
                <w:rFonts w:ascii="Arial" w:hAnsi="Arial" w:cs="Arial"/>
                <w:color w:val="000000"/>
                <w:sz w:val="20"/>
                <w:szCs w:val="20"/>
                <w:lang w:eastAsia="en-GB"/>
              </w:rPr>
            </w:pPr>
            <w:r w:rsidRPr="00C002BD">
              <w:rPr>
                <w:rFonts w:ascii="Arial" w:hAnsi="Arial" w:cs="Arial"/>
                <w:color w:val="000000"/>
                <w:sz w:val="20"/>
                <w:szCs w:val="20"/>
                <w:lang w:eastAsia="en-GB"/>
              </w:rPr>
              <w:t xml:space="preserve">or calling their helpline Tel: 0303 123 1113 (local rate) or 01625 545 745 (national rate) </w:t>
            </w:r>
          </w:p>
          <w:p w:rsidR="00C002BD" w:rsidRPr="00C002BD" w:rsidRDefault="00C002BD" w:rsidP="00F401D4">
            <w:pPr>
              <w:rPr>
                <w:rFonts w:ascii="Arial" w:hAnsi="Arial" w:cs="Arial"/>
                <w:color w:val="000000"/>
                <w:lang w:eastAsia="en-GB"/>
              </w:rPr>
            </w:pPr>
            <w:r w:rsidRPr="00C002BD">
              <w:rPr>
                <w:rFonts w:ascii="Arial" w:hAnsi="Arial" w:cs="Arial"/>
                <w:color w:val="000000"/>
                <w:sz w:val="20"/>
                <w:szCs w:val="20"/>
                <w:lang w:eastAsia="en-GB"/>
              </w:rPr>
              <w:t>There are National Offices for Scotland, Northern Ireland and Wales, (see ICO website)/</w:t>
            </w:r>
          </w:p>
        </w:tc>
      </w:tr>
    </w:tbl>
    <w:p w:rsidR="0003407D" w:rsidRPr="0003407D" w:rsidRDefault="0003407D" w:rsidP="00912F64">
      <w:pPr>
        <w:jc w:val="both"/>
        <w:rPr>
          <w:rFonts w:ascii="Arial" w:hAnsi="Arial" w:cs="Arial"/>
          <w:b/>
          <w:sz w:val="24"/>
          <w:szCs w:val="24"/>
        </w:rPr>
      </w:pPr>
      <w:bookmarkStart w:id="0" w:name="_GoBack"/>
      <w:bookmarkEnd w:id="0"/>
    </w:p>
    <w:sectPr w:rsidR="0003407D" w:rsidRPr="000340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B078B"/>
    <w:multiLevelType w:val="hybridMultilevel"/>
    <w:tmpl w:val="73367DB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07D"/>
    <w:rsid w:val="0003407D"/>
    <w:rsid w:val="002253A5"/>
    <w:rsid w:val="00800D79"/>
    <w:rsid w:val="00912F64"/>
    <w:rsid w:val="00B132AD"/>
    <w:rsid w:val="00C002BD"/>
    <w:rsid w:val="00C92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407D"/>
    <w:rPr>
      <w:rFonts w:cs="Times New Roman"/>
      <w:color w:val="0000FF"/>
      <w:u w:val="single"/>
    </w:rPr>
  </w:style>
  <w:style w:type="table" w:styleId="TableGrid">
    <w:name w:val="Table Grid"/>
    <w:basedOn w:val="TableNormal"/>
    <w:uiPriority w:val="59"/>
    <w:rsid w:val="000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2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407D"/>
    <w:rPr>
      <w:rFonts w:cs="Times New Roman"/>
      <w:color w:val="0000FF"/>
      <w:u w:val="single"/>
    </w:rPr>
  </w:style>
  <w:style w:type="table" w:styleId="TableGrid">
    <w:name w:val="Table Grid"/>
    <w:basedOn w:val="TableNormal"/>
    <w:uiPriority w:val="59"/>
    <w:rsid w:val="000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7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microsoft.com/office/2007/relationships/stylesWithEffects" Target="stylesWithEffects.xml"/><Relationship Id="rId7" Type="http://schemas.openxmlformats.org/officeDocument/2006/relationships/hyperlink" Target="mailto:Caroline.million@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qc.org.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Ruth (C86038) 99 Amersall Road DN5 9PQ</dc:creator>
  <cp:lastModifiedBy>Price, Ruth (C86038) 99 Amersall Road DN5 9PQ</cp:lastModifiedBy>
  <cp:revision>4</cp:revision>
  <cp:lastPrinted>2018-05-22T09:02:00Z</cp:lastPrinted>
  <dcterms:created xsi:type="dcterms:W3CDTF">2018-05-22T08:31:00Z</dcterms:created>
  <dcterms:modified xsi:type="dcterms:W3CDTF">2021-04-13T14:35:00Z</dcterms:modified>
</cp:coreProperties>
</file>